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37C67B"/>
    <w:p w14:paraId="72C2DABD">
      <w:pPr>
        <w:spacing w:line="540" w:lineRule="exact"/>
        <w:jc w:val="center"/>
        <w:rPr>
          <w:rFonts w:hint="default" w:ascii="Times New Roman" w:hAnsi="Times New Roman" w:eastAsia="华文中宋" w:cs="Times New Roman"/>
          <w:b/>
          <w:kern w:val="0"/>
          <w:sz w:val="52"/>
          <w:szCs w:val="52"/>
          <w:highlight w:val="none"/>
        </w:rPr>
      </w:pPr>
    </w:p>
    <w:p w14:paraId="2B50A164">
      <w:pPr>
        <w:spacing w:line="540" w:lineRule="exact"/>
        <w:rPr>
          <w:rFonts w:hint="default" w:ascii="Times New Roman" w:hAnsi="Times New Roman" w:eastAsia="华文中宋" w:cs="Times New Roman"/>
          <w:b/>
          <w:kern w:val="0"/>
          <w:sz w:val="52"/>
          <w:szCs w:val="52"/>
          <w:highlight w:val="none"/>
        </w:rPr>
      </w:pPr>
    </w:p>
    <w:p w14:paraId="66E8D41E">
      <w:pPr>
        <w:spacing w:line="540" w:lineRule="exact"/>
        <w:jc w:val="center"/>
        <w:rPr>
          <w:rFonts w:hint="default" w:ascii="Times New Roman" w:hAnsi="Times New Roman" w:eastAsia="华文中宋" w:cs="Times New Roman"/>
          <w:b/>
          <w:kern w:val="0"/>
          <w:sz w:val="52"/>
          <w:szCs w:val="52"/>
          <w:highlight w:val="none"/>
        </w:rPr>
      </w:pPr>
    </w:p>
    <w:p w14:paraId="36966C5F">
      <w:pPr>
        <w:spacing w:line="540" w:lineRule="exact"/>
        <w:jc w:val="center"/>
        <w:rPr>
          <w:rFonts w:hint="default" w:ascii="Times New Roman" w:hAnsi="Times New Roman" w:eastAsia="方正小标宋_GBK" w:cs="Times New Roman"/>
          <w:kern w:val="0"/>
          <w:sz w:val="48"/>
          <w:szCs w:val="48"/>
          <w:highlight w:val="none"/>
        </w:rPr>
      </w:pPr>
      <w:r>
        <w:rPr>
          <w:rFonts w:hint="default" w:ascii="Times New Roman" w:hAnsi="Times New Roman" w:eastAsia="方正小标宋_GBK" w:cs="Times New Roman"/>
          <w:kern w:val="0"/>
          <w:sz w:val="48"/>
          <w:szCs w:val="48"/>
          <w:highlight w:val="none"/>
          <w:lang w:eastAsia="zh-CN"/>
        </w:rPr>
        <w:t>消化</w:t>
      </w:r>
      <w:r>
        <w:rPr>
          <w:rFonts w:hint="default" w:ascii="Times New Roman" w:hAnsi="Times New Roman" w:eastAsia="方正小标宋_GBK" w:cs="Times New Roman"/>
          <w:kern w:val="0"/>
          <w:sz w:val="48"/>
          <w:szCs w:val="48"/>
          <w:highlight w:val="none"/>
          <w:lang w:val="en-US" w:eastAsia="zh-CN"/>
        </w:rPr>
        <w:t>2021年暂付款</w:t>
      </w:r>
      <w:r>
        <w:rPr>
          <w:rFonts w:hint="default" w:ascii="Times New Roman" w:hAnsi="Times New Roman" w:eastAsia="方正小标宋_GBK" w:cs="Times New Roman"/>
          <w:kern w:val="0"/>
          <w:sz w:val="48"/>
          <w:szCs w:val="48"/>
          <w:highlight w:val="none"/>
        </w:rPr>
        <w:t>项目支出</w:t>
      </w:r>
    </w:p>
    <w:p w14:paraId="402EDC67">
      <w:pPr>
        <w:spacing w:line="540" w:lineRule="exact"/>
        <w:jc w:val="center"/>
        <w:rPr>
          <w:rFonts w:hint="default" w:ascii="Times New Roman" w:hAnsi="Times New Roman" w:eastAsia="方正小标宋_GBK" w:cs="Times New Roman"/>
          <w:kern w:val="0"/>
          <w:sz w:val="48"/>
          <w:szCs w:val="48"/>
          <w:highlight w:val="none"/>
        </w:rPr>
      </w:pPr>
      <w:r>
        <w:rPr>
          <w:rFonts w:hint="default" w:ascii="Times New Roman" w:hAnsi="Times New Roman" w:eastAsia="方正小标宋_GBK" w:cs="Times New Roman"/>
          <w:kern w:val="0"/>
          <w:sz w:val="48"/>
          <w:szCs w:val="48"/>
          <w:highlight w:val="none"/>
        </w:rPr>
        <w:t>绩效评价报告</w:t>
      </w:r>
    </w:p>
    <w:p w14:paraId="0AE3EB8A">
      <w:pPr>
        <w:spacing w:line="540" w:lineRule="exact"/>
        <w:jc w:val="center"/>
        <w:rPr>
          <w:rFonts w:hint="default" w:ascii="Times New Roman" w:hAnsi="Times New Roman" w:eastAsia="华文中宋" w:cs="Times New Roman"/>
          <w:b/>
          <w:kern w:val="0"/>
          <w:sz w:val="52"/>
          <w:szCs w:val="52"/>
          <w:highlight w:val="none"/>
        </w:rPr>
      </w:pPr>
    </w:p>
    <w:p w14:paraId="2B4DE091">
      <w:pPr>
        <w:spacing w:line="540" w:lineRule="exact"/>
        <w:jc w:val="center"/>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6"/>
          <w:szCs w:val="36"/>
          <w:highlight w:val="none"/>
        </w:rPr>
        <w:t>（202</w:t>
      </w:r>
      <w:r>
        <w:rPr>
          <w:rFonts w:hint="default" w:ascii="Times New Roman" w:hAnsi="Times New Roman" w:eastAsia="仿宋_GB2312" w:cs="Times New Roman"/>
          <w:kern w:val="0"/>
          <w:sz w:val="36"/>
          <w:szCs w:val="36"/>
          <w:highlight w:val="none"/>
          <w:lang w:val="en-US" w:eastAsia="zh-CN"/>
        </w:rPr>
        <w:t>4</w:t>
      </w:r>
      <w:r>
        <w:rPr>
          <w:rFonts w:hint="default" w:ascii="Times New Roman" w:hAnsi="Times New Roman" w:eastAsia="仿宋_GB2312" w:cs="Times New Roman"/>
          <w:kern w:val="0"/>
          <w:sz w:val="36"/>
          <w:szCs w:val="36"/>
          <w:highlight w:val="none"/>
        </w:rPr>
        <w:t>年度）</w:t>
      </w:r>
    </w:p>
    <w:p w14:paraId="72B9A300">
      <w:pPr>
        <w:spacing w:line="540" w:lineRule="exact"/>
        <w:jc w:val="center"/>
        <w:rPr>
          <w:rFonts w:hint="default" w:ascii="Times New Roman" w:hAnsi="Times New Roman" w:eastAsia="仿宋_GB2312" w:cs="Times New Roman"/>
          <w:kern w:val="0"/>
          <w:sz w:val="30"/>
          <w:szCs w:val="30"/>
          <w:highlight w:val="none"/>
        </w:rPr>
      </w:pPr>
    </w:p>
    <w:p w14:paraId="56C3F868">
      <w:pPr>
        <w:spacing w:line="540" w:lineRule="exact"/>
        <w:jc w:val="center"/>
        <w:rPr>
          <w:rFonts w:hint="default" w:ascii="Times New Roman" w:hAnsi="Times New Roman" w:eastAsia="仿宋_GB2312" w:cs="Times New Roman"/>
          <w:kern w:val="0"/>
          <w:sz w:val="30"/>
          <w:szCs w:val="30"/>
          <w:highlight w:val="none"/>
        </w:rPr>
      </w:pPr>
    </w:p>
    <w:p w14:paraId="5E752A04">
      <w:pPr>
        <w:spacing w:line="540" w:lineRule="exact"/>
        <w:jc w:val="center"/>
        <w:rPr>
          <w:rFonts w:hint="default" w:ascii="Times New Roman" w:hAnsi="Times New Roman" w:eastAsia="仿宋_GB2312" w:cs="Times New Roman"/>
          <w:kern w:val="0"/>
          <w:sz w:val="30"/>
          <w:szCs w:val="30"/>
          <w:highlight w:val="none"/>
        </w:rPr>
      </w:pPr>
    </w:p>
    <w:p w14:paraId="4A45A473">
      <w:pPr>
        <w:pStyle w:val="9"/>
        <w:rPr>
          <w:rFonts w:hint="default" w:ascii="Times New Roman" w:hAnsi="Times New Roman" w:cs="Times New Roman"/>
          <w:highlight w:val="none"/>
        </w:rPr>
      </w:pPr>
    </w:p>
    <w:p w14:paraId="06EB6720">
      <w:pPr>
        <w:spacing w:line="540" w:lineRule="exact"/>
        <w:jc w:val="center"/>
        <w:rPr>
          <w:rFonts w:hint="default" w:ascii="Times New Roman" w:hAnsi="Times New Roman" w:eastAsia="仿宋_GB2312" w:cs="Times New Roman"/>
          <w:kern w:val="0"/>
          <w:sz w:val="30"/>
          <w:szCs w:val="30"/>
          <w:highlight w:val="none"/>
        </w:rPr>
      </w:pPr>
    </w:p>
    <w:p w14:paraId="7D73F245">
      <w:pPr>
        <w:spacing w:line="540" w:lineRule="exact"/>
        <w:rPr>
          <w:rFonts w:hint="default" w:ascii="Times New Roman" w:hAnsi="Times New Roman" w:eastAsia="仿宋_GB2312" w:cs="Times New Roman"/>
          <w:kern w:val="0"/>
          <w:sz w:val="30"/>
          <w:szCs w:val="30"/>
          <w:highlight w:val="none"/>
        </w:rPr>
      </w:pPr>
    </w:p>
    <w:p w14:paraId="75DA5C52">
      <w:pPr>
        <w:pStyle w:val="9"/>
        <w:rPr>
          <w:rFonts w:hint="default" w:ascii="Times New Roman" w:hAnsi="Times New Roman" w:eastAsia="仿宋_GB2312" w:cs="Times New Roman"/>
          <w:kern w:val="0"/>
          <w:sz w:val="30"/>
          <w:szCs w:val="30"/>
          <w:highlight w:val="none"/>
        </w:rPr>
      </w:pPr>
    </w:p>
    <w:p w14:paraId="633DD2E7">
      <w:pPr>
        <w:rPr>
          <w:rFonts w:hint="default" w:ascii="Times New Roman" w:hAnsi="Times New Roman" w:cs="Times New Roman"/>
          <w:highlight w:val="none"/>
        </w:rPr>
      </w:pPr>
    </w:p>
    <w:p w14:paraId="01EC9476">
      <w:pPr>
        <w:rPr>
          <w:rFonts w:hint="default" w:ascii="Times New Roman" w:hAnsi="Times New Roman" w:cs="Times New Roman"/>
          <w:highlight w:val="none"/>
        </w:rPr>
      </w:pPr>
    </w:p>
    <w:p w14:paraId="371E9DB6">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6"/>
          <w:szCs w:val="36"/>
          <w:highlight w:val="none"/>
        </w:rPr>
        <w:t>项目名称：消化2021年暂付款</w:t>
      </w:r>
    </w:p>
    <w:p w14:paraId="1F237689">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ascii="Times New Roman" w:hAnsi="Times New Roman" w:eastAsia="仿宋_GB2312" w:cs="Times New Roman"/>
          <w:kern w:val="0"/>
          <w:sz w:val="36"/>
          <w:szCs w:val="36"/>
          <w:highlight w:val="none"/>
          <w:lang w:eastAsia="zh-CN"/>
        </w:rPr>
      </w:pPr>
      <w:r>
        <w:rPr>
          <w:rFonts w:hint="default" w:ascii="Times New Roman" w:hAnsi="Times New Roman" w:eastAsia="仿宋_GB2312" w:cs="Times New Roman"/>
          <w:kern w:val="0"/>
          <w:sz w:val="36"/>
          <w:szCs w:val="36"/>
          <w:highlight w:val="none"/>
        </w:rPr>
        <w:t>实施单位（公章）：</w:t>
      </w:r>
      <w:r>
        <w:rPr>
          <w:rFonts w:hint="default" w:ascii="Times New Roman" w:hAnsi="Times New Roman" w:eastAsia="仿宋_GB2312" w:cs="Times New Roman"/>
          <w:kern w:val="0"/>
          <w:sz w:val="36"/>
          <w:szCs w:val="36"/>
          <w:highlight w:val="none"/>
          <w:lang w:eastAsia="zh-CN"/>
        </w:rPr>
        <w:t>乌鲁木齐水磨沟公园</w:t>
      </w:r>
    </w:p>
    <w:p w14:paraId="46C4B912">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ascii="Times New Roman" w:hAnsi="Times New Roman" w:eastAsia="仿宋_GB2312" w:cs="Times New Roman"/>
          <w:kern w:val="0"/>
          <w:sz w:val="36"/>
          <w:szCs w:val="36"/>
          <w:highlight w:val="none"/>
          <w:lang w:eastAsia="zh-CN"/>
        </w:rPr>
      </w:pPr>
      <w:r>
        <w:rPr>
          <w:rFonts w:hint="default" w:ascii="Times New Roman" w:hAnsi="Times New Roman" w:eastAsia="仿宋_GB2312" w:cs="Times New Roman"/>
          <w:kern w:val="0"/>
          <w:sz w:val="36"/>
          <w:szCs w:val="36"/>
          <w:highlight w:val="none"/>
        </w:rPr>
        <w:t>主管部门（公章）：</w:t>
      </w:r>
      <w:r>
        <w:rPr>
          <w:rFonts w:hint="default" w:ascii="Times New Roman" w:hAnsi="Times New Roman" w:eastAsia="仿宋_GB2312" w:cs="Times New Roman"/>
          <w:kern w:val="0"/>
          <w:sz w:val="36"/>
          <w:szCs w:val="36"/>
          <w:highlight w:val="none"/>
          <w:lang w:eastAsia="zh-CN"/>
        </w:rPr>
        <w:t>乌鲁木齐市水磨沟区园林管理局</w:t>
      </w:r>
    </w:p>
    <w:p w14:paraId="696ACC5C">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ascii="Times New Roman" w:hAnsi="Times New Roman" w:eastAsia="仿宋_GB2312" w:cs="Times New Roman"/>
          <w:kern w:val="0"/>
          <w:sz w:val="36"/>
          <w:szCs w:val="36"/>
          <w:highlight w:val="none"/>
          <w:lang w:eastAsia="zh-CN"/>
        </w:rPr>
      </w:pPr>
      <w:r>
        <w:rPr>
          <w:rFonts w:hint="default" w:ascii="Times New Roman" w:hAnsi="Times New Roman" w:eastAsia="仿宋_GB2312" w:cs="Times New Roman"/>
          <w:kern w:val="0"/>
          <w:sz w:val="36"/>
          <w:szCs w:val="36"/>
          <w:highlight w:val="none"/>
        </w:rPr>
        <w:t>项目负责人（签章）：</w:t>
      </w:r>
      <w:r>
        <w:rPr>
          <w:rFonts w:hint="default" w:ascii="Times New Roman" w:hAnsi="Times New Roman" w:eastAsia="仿宋_GB2312" w:cs="Times New Roman"/>
          <w:kern w:val="0"/>
          <w:sz w:val="36"/>
          <w:szCs w:val="36"/>
          <w:highlight w:val="none"/>
          <w:lang w:eastAsia="zh-CN"/>
        </w:rPr>
        <w:t>王凯炜</w:t>
      </w:r>
    </w:p>
    <w:p w14:paraId="220093A9">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6"/>
          <w:szCs w:val="36"/>
          <w:highlight w:val="none"/>
        </w:rPr>
        <w:t>填报时间：</w:t>
      </w:r>
      <w:r>
        <w:rPr>
          <w:rFonts w:hint="default" w:ascii="Times New Roman" w:hAnsi="Times New Roman" w:eastAsia="仿宋_GB2312" w:cs="Times New Roman"/>
          <w:kern w:val="0"/>
          <w:sz w:val="36"/>
          <w:szCs w:val="36"/>
          <w:highlight w:val="none"/>
          <w:lang w:val="en-US" w:eastAsia="zh-CN"/>
        </w:rPr>
        <w:t>2025</w:t>
      </w:r>
      <w:r>
        <w:rPr>
          <w:rFonts w:hint="default" w:ascii="Times New Roman" w:hAnsi="Times New Roman" w:eastAsia="仿宋_GB2312" w:cs="Times New Roman"/>
          <w:kern w:val="0"/>
          <w:sz w:val="36"/>
          <w:szCs w:val="36"/>
          <w:highlight w:val="none"/>
        </w:rPr>
        <w:t>年</w:t>
      </w:r>
      <w:r>
        <w:rPr>
          <w:rFonts w:hint="default" w:ascii="Times New Roman" w:hAnsi="Times New Roman" w:eastAsia="仿宋_GB2312" w:cs="Times New Roman"/>
          <w:kern w:val="0"/>
          <w:sz w:val="36"/>
          <w:szCs w:val="36"/>
          <w:highlight w:val="none"/>
          <w:lang w:val="en-US" w:eastAsia="zh-CN"/>
        </w:rPr>
        <w:t>4</w:t>
      </w:r>
      <w:r>
        <w:rPr>
          <w:rFonts w:hint="default" w:ascii="Times New Roman" w:hAnsi="Times New Roman" w:eastAsia="仿宋_GB2312" w:cs="Times New Roman"/>
          <w:kern w:val="0"/>
          <w:sz w:val="36"/>
          <w:szCs w:val="36"/>
          <w:highlight w:val="none"/>
        </w:rPr>
        <w:t>月</w:t>
      </w:r>
      <w:r>
        <w:rPr>
          <w:rFonts w:hint="eastAsia" w:eastAsia="仿宋_GB2312" w:cs="Times New Roman"/>
          <w:kern w:val="0"/>
          <w:sz w:val="36"/>
          <w:szCs w:val="36"/>
          <w:highlight w:val="none"/>
          <w:lang w:val="en-US" w:eastAsia="zh-CN"/>
        </w:rPr>
        <w:t>2</w:t>
      </w:r>
      <w:r>
        <w:rPr>
          <w:rFonts w:hint="default" w:ascii="Times New Roman" w:hAnsi="Times New Roman" w:eastAsia="仿宋_GB2312" w:cs="Times New Roman"/>
          <w:kern w:val="0"/>
          <w:sz w:val="36"/>
          <w:szCs w:val="36"/>
          <w:highlight w:val="none"/>
        </w:rPr>
        <w:t>日</w:t>
      </w:r>
    </w:p>
    <w:p w14:paraId="60742801">
      <w:pPr>
        <w:spacing w:line="540" w:lineRule="exact"/>
        <w:jc w:val="center"/>
        <w:rPr>
          <w:rFonts w:hint="default" w:ascii="Times New Roman" w:hAnsi="Times New Roman" w:eastAsia="仿宋_GB2312" w:cs="Times New Roman"/>
          <w:kern w:val="0"/>
          <w:sz w:val="30"/>
          <w:szCs w:val="30"/>
          <w:highlight w:val="none"/>
        </w:rPr>
      </w:pPr>
    </w:p>
    <w:p w14:paraId="0C71E238">
      <w:pPr>
        <w:spacing w:line="540" w:lineRule="exact"/>
        <w:rPr>
          <w:rStyle w:val="15"/>
          <w:rFonts w:hint="default" w:ascii="Times New Roman" w:hAnsi="Times New Roman" w:eastAsia="黑体" w:cs="Times New Roman"/>
          <w:b w:val="0"/>
          <w:spacing w:val="-4"/>
          <w:sz w:val="32"/>
          <w:szCs w:val="32"/>
          <w:highlight w:val="none"/>
        </w:rPr>
        <w:sectPr>
          <w:pgSz w:w="11906" w:h="16838"/>
          <w:pgMar w:top="1440" w:right="1558" w:bottom="1440" w:left="1800" w:header="851" w:footer="992" w:gutter="0"/>
          <w:cols w:space="425" w:num="1"/>
          <w:docGrid w:type="lines" w:linePitch="312" w:charSpace="0"/>
        </w:sectPr>
      </w:pPr>
    </w:p>
    <w:p w14:paraId="3839A93D">
      <w:pPr>
        <w:spacing w:line="56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一、基本情况</w:t>
      </w:r>
    </w:p>
    <w:p w14:paraId="3338D790">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（一）项目概况</w:t>
      </w:r>
    </w:p>
    <w:p w14:paraId="7BCCF679">
      <w:pPr>
        <w:pStyle w:val="20"/>
        <w:spacing w:line="560" w:lineRule="exact"/>
        <w:ind w:firstLine="64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w:t>
      </w: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bCs/>
          <w:sz w:val="32"/>
          <w:szCs w:val="32"/>
          <w:highlight w:val="none"/>
        </w:rPr>
        <w:t>项目背景</w:t>
      </w:r>
    </w:p>
    <w:p w14:paraId="35F2ACCF">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bookmarkStart w:id="3" w:name="_GoBack"/>
      <w:r>
        <w:rPr>
          <w:rFonts w:hint="default" w:ascii="Times New Roman" w:hAnsi="Times New Roman" w:eastAsia="仿宋_GB2312" w:cs="Times New Roman"/>
          <w:sz w:val="32"/>
          <w:szCs w:val="32"/>
          <w:highlight w:val="none"/>
          <w:lang w:val="en-US" w:eastAsia="zh-CN"/>
        </w:rPr>
        <w:t>随着城市化进程的加快和人民生活水平的提高，水磨沟公园作为城市公共活动空间的重要组成部分，其日常管理和安全保障工作显得尤为重要。近年来，水磨沟公园因其优美的环境、丰富的文化活动和便捷的交通条件，吸引了大量市民和游客前来休闲、娱乐和观光。然而，随着人流量的不断增加，公园的安全保障工作面临着越来越大的挑战。</w:t>
      </w:r>
    </w:p>
    <w:p w14:paraId="235A5D11">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为了确保公园园内各项活动的顺利进行和游客的生命安全，公园管理部门需要投入更多的人力和物力进行日常管理和安全保障工作。</w:t>
      </w:r>
    </w:p>
    <w:bookmarkEnd w:id="3"/>
    <w:p w14:paraId="4AF5A0E9">
      <w:pPr>
        <w:pStyle w:val="20"/>
        <w:spacing w:line="560" w:lineRule="exact"/>
        <w:ind w:firstLine="64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lang w:val="en-US" w:eastAsia="zh-CN"/>
        </w:rPr>
        <w:t>2.</w:t>
      </w:r>
      <w:r>
        <w:rPr>
          <w:rFonts w:hint="default" w:ascii="Times New Roman" w:hAnsi="Times New Roman" w:eastAsia="仿宋_GB2312" w:cs="Times New Roman"/>
          <w:b/>
          <w:bCs/>
          <w:sz w:val="32"/>
          <w:szCs w:val="32"/>
          <w:highlight w:val="none"/>
        </w:rPr>
        <w:t>项目主要内容</w:t>
      </w:r>
      <w:r>
        <w:rPr>
          <w:rFonts w:hint="default" w:ascii="Times New Roman" w:hAnsi="Times New Roman" w:eastAsia="仿宋_GB2312" w:cs="Times New Roman"/>
          <w:b/>
          <w:bCs/>
          <w:sz w:val="32"/>
          <w:szCs w:val="32"/>
          <w:highlight w:val="none"/>
          <w:lang w:val="en-US" w:eastAsia="zh-CN"/>
        </w:rPr>
        <w:t>及实施情况</w:t>
      </w:r>
    </w:p>
    <w:p w14:paraId="3240086E">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项目主要内容：</w:t>
      </w:r>
      <w:r>
        <w:rPr>
          <w:rFonts w:hint="default" w:ascii="Times New Roman" w:hAnsi="Times New Roman" w:eastAsia="仿宋_GB2312" w:cs="Times New Roman"/>
          <w:sz w:val="32"/>
          <w:szCs w:val="32"/>
          <w:highlight w:val="none"/>
          <w:lang w:val="en-US" w:eastAsia="zh-CN"/>
        </w:rPr>
        <w:t>该项目经费具体是用于安保人员工资支出，解决和缓解低收入人员及下岗人员的就业；确保水磨沟公园园内安全保障工作，确保到水磨沟公园游玩游客的旅游安全，确保安保人员日常巡逻、执勤、安全排查等工作的正常开展。</w:t>
      </w:r>
    </w:p>
    <w:p w14:paraId="7CDE80D2">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该项目年度临聘人员114名，主要用于园内安保工作。6小时一班，每日轮转两班，保证我园区内24小时的安全保障工作，确保到水磨沟公园游玩游客的人身安全，展开如下工作：</w:t>
      </w:r>
    </w:p>
    <w:p w14:paraId="640BA08E">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一是加强巡查。制定巡查制度、巡逻路线和执勤点位，实行24小时全天候、全方位巡逻。执勤点位要定时、定点、定位及时与各个巡逻组进行信息沟通，有效处理突发事件。</w:t>
      </w:r>
    </w:p>
    <w:p w14:paraId="355DC82F">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二是加强应急演练、提高处突能力。联合118便民警务站与公园应急小分队，每周开展突发事件应急拉动演练，并与管辖社区十户联保机制相结合，设立“一键式”报警联动。</w:t>
      </w:r>
    </w:p>
    <w:p w14:paraId="0B8FF9A8">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三是安全隐患的排查。加强对园内道路、河道、木栈道、徒步道、安全护栏、林带、消防设备、电器设备安全隐患的排查力度，并在危险地段需设置安全警告、警示牌。在节假日及旅游旺季，制定了《景区安全防范应急预案》、《水磨沟公园旅游高峰期应急管理方案》在游客集中地段竖立指示标志，加强对游客的疏导，防止游客拥挤、踩踏事故发生。</w:t>
      </w:r>
    </w:p>
    <w:p w14:paraId="476882F4">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四是成立应急救助措施。根据《水磨沟公园安全应急处置预案》水磨沟公园安保队员建立紧急救援体系，成立应急救护队，形成统一指挥，反应迅速，运转高效的应急机制。</w:t>
      </w:r>
    </w:p>
    <w:p w14:paraId="3024A53B">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实施情况：项目目前已经完成实际设立的目标，项目在实施过程中严格按照目标设立的各阶段任务进行开展工作，在前期立项过程中严格把质量关，建立安全防护机制，保证项目实施各阶段安全顺利进行。截至评价期，公园共接待中外游客203万余人次。每日对公园内356处休闲座椅、石凳、垃圾箱、景观灯、护栏进行清洗消杀，确保景区环境优美整洁。做好公园三山（温泉山、清泉山、水塔山）林地养护、浇水、修枝、除草、病虫害防治、防火、古树保护等工作，共清理枯枝、死枝1000余车。进行药物喷洒33车次，人工打药6天；对园内1万余棵树木进行了涂白；修剪病虫害树木2000棵；对园区树木进行小蠹虫防治工作，挂药袋40棵。开展安全生产宣传教育6次，开展安全生产演练活动3次，开展日常检查、专项检查、节庆检查，重大活动检查60次，查出隐患问题15处，整改隐患13处，提出合理建议3条。</w:t>
      </w:r>
    </w:p>
    <w:p w14:paraId="01CB2CE1">
      <w:pPr>
        <w:pStyle w:val="20"/>
        <w:spacing w:line="560" w:lineRule="exact"/>
        <w:ind w:firstLine="64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bCs/>
          <w:sz w:val="32"/>
          <w:szCs w:val="32"/>
          <w:highlight w:val="none"/>
        </w:rPr>
        <w:t>资金投入和使用情况</w:t>
      </w:r>
    </w:p>
    <w:p w14:paraId="19CDCFB6">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（1）资金投入情况</w:t>
      </w:r>
    </w:p>
    <w:p w14:paraId="44C0FC55">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该项目年初预算数</w:t>
      </w:r>
      <w:r>
        <w:rPr>
          <w:rFonts w:hint="default" w:ascii="Times New Roman" w:hAnsi="Times New Roman" w:eastAsia="仿宋_GB2312" w:cs="Times New Roman"/>
          <w:sz w:val="32"/>
          <w:szCs w:val="32"/>
          <w:highlight w:val="none"/>
          <w:lang w:val="en-US" w:eastAsia="zh-CN"/>
        </w:rPr>
        <w:t>107.85</w:t>
      </w:r>
      <w:r>
        <w:rPr>
          <w:rFonts w:hint="default" w:ascii="Times New Roman" w:hAnsi="Times New Roman" w:eastAsia="仿宋_GB2312" w:cs="Times New Roman"/>
          <w:sz w:val="32"/>
          <w:szCs w:val="32"/>
          <w:highlight w:val="none"/>
        </w:rPr>
        <w:t>万元，全年预算数</w:t>
      </w:r>
      <w:r>
        <w:rPr>
          <w:rFonts w:hint="default" w:ascii="Times New Roman" w:hAnsi="Times New Roman" w:eastAsia="仿宋_GB2312" w:cs="Times New Roman"/>
          <w:sz w:val="32"/>
          <w:szCs w:val="32"/>
          <w:highlight w:val="none"/>
          <w:lang w:val="en-US" w:eastAsia="zh-CN"/>
        </w:rPr>
        <w:t>107.85</w:t>
      </w:r>
      <w:r>
        <w:rPr>
          <w:rFonts w:hint="default" w:ascii="Times New Roman" w:hAnsi="Times New Roman" w:eastAsia="仿宋_GB2312" w:cs="Times New Roman"/>
          <w:sz w:val="32"/>
          <w:szCs w:val="32"/>
          <w:highlight w:val="none"/>
        </w:rPr>
        <w:t>万元，</w:t>
      </w:r>
      <w:r>
        <w:rPr>
          <w:rFonts w:hint="eastAsia" w:eastAsia="仿宋_GB2312" w:cs="Times New Roman"/>
          <w:sz w:val="32"/>
          <w:szCs w:val="32"/>
          <w:highlight w:val="none"/>
          <w:lang w:val="en-US" w:eastAsia="zh-CN"/>
        </w:rPr>
        <w:t>资金到位</w:t>
      </w:r>
      <w:r>
        <w:rPr>
          <w:rFonts w:hint="default" w:ascii="Times New Roman" w:hAnsi="Times New Roman" w:eastAsia="仿宋_GB2312" w:cs="Times New Roman"/>
          <w:sz w:val="32"/>
          <w:szCs w:val="32"/>
          <w:highlight w:val="none"/>
          <w:lang w:val="en-US" w:eastAsia="zh-CN"/>
        </w:rPr>
        <w:t>107.85</w:t>
      </w:r>
      <w:r>
        <w:rPr>
          <w:rFonts w:hint="default" w:ascii="Times New Roman" w:hAnsi="Times New Roman" w:eastAsia="仿宋_GB2312" w:cs="Times New Roman"/>
          <w:sz w:val="32"/>
          <w:szCs w:val="32"/>
          <w:highlight w:val="none"/>
        </w:rPr>
        <w:t>万元，</w:t>
      </w:r>
      <w:r>
        <w:rPr>
          <w:rFonts w:hint="eastAsia" w:eastAsia="仿宋_GB2312" w:cs="Times New Roman"/>
          <w:sz w:val="32"/>
          <w:szCs w:val="32"/>
          <w:highlight w:val="none"/>
          <w:lang w:val="en-US" w:eastAsia="zh-CN"/>
        </w:rPr>
        <w:t>资金到位率100%</w:t>
      </w:r>
      <w:r>
        <w:rPr>
          <w:rFonts w:hint="default" w:ascii="Times New Roman" w:hAnsi="Times New Roman" w:eastAsia="仿宋_GB2312" w:cs="Times New Roman"/>
          <w:sz w:val="32"/>
          <w:szCs w:val="32"/>
          <w:highlight w:val="none"/>
        </w:rPr>
        <w:t>，资金来源为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rPr>
        <w:t>。</w:t>
      </w:r>
    </w:p>
    <w:p w14:paraId="739F9670">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（2）资金使用情况</w:t>
      </w:r>
    </w:p>
    <w:p w14:paraId="53D6F468">
      <w:pP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该项目年初预算数107.85</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万元，全年预算数</w:t>
      </w:r>
      <w:r>
        <w:rPr>
          <w:rFonts w:hint="default" w:ascii="Times New Roman" w:hAnsi="Times New Roman" w:eastAsia="仿宋_GB2312" w:cs="Times New Roman"/>
          <w:sz w:val="32"/>
          <w:szCs w:val="32"/>
          <w:highlight w:val="none"/>
          <w:lang w:val="en-US" w:eastAsia="zh-CN"/>
        </w:rPr>
        <w:t>107.85</w:t>
      </w:r>
      <w:r>
        <w:rPr>
          <w:rFonts w:hint="default" w:ascii="Times New Roman" w:hAnsi="Times New Roman" w:eastAsia="仿宋_GB2312" w:cs="Times New Roman"/>
          <w:sz w:val="32"/>
          <w:szCs w:val="32"/>
          <w:highlight w:val="none"/>
        </w:rPr>
        <w:t>万元，全年执行数</w:t>
      </w:r>
      <w:r>
        <w:rPr>
          <w:rFonts w:hint="default" w:ascii="Times New Roman" w:hAnsi="Times New Roman" w:eastAsia="仿宋_GB2312" w:cs="Times New Roman"/>
          <w:sz w:val="32"/>
          <w:szCs w:val="32"/>
          <w:highlight w:val="none"/>
          <w:lang w:val="en-US" w:eastAsia="zh-CN"/>
        </w:rPr>
        <w:t>107.85</w:t>
      </w:r>
      <w:r>
        <w:rPr>
          <w:rFonts w:hint="default" w:ascii="Times New Roman" w:hAnsi="Times New Roman" w:eastAsia="仿宋_GB2312" w:cs="Times New Roman"/>
          <w:sz w:val="32"/>
          <w:szCs w:val="32"/>
          <w:highlight w:val="none"/>
        </w:rPr>
        <w:t>万元，预算执行率为</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%，主要用于：安保人员工资支出，确保水磨沟公园园内安全保障工作，确保到水磨沟公园游玩游客的旅游安全，确保安保人员日常巡逻、执勤、安全排查等工作的正常开展</w:t>
      </w:r>
      <w:r>
        <w:rPr>
          <w:rFonts w:hint="default" w:ascii="Times New Roman" w:hAnsi="Times New Roman" w:eastAsia="仿宋_GB2312" w:cs="Times New Roman"/>
          <w:sz w:val="32"/>
          <w:szCs w:val="32"/>
          <w:highlight w:val="none"/>
          <w:lang w:eastAsia="zh-CN"/>
        </w:rPr>
        <w:t>。</w:t>
      </w:r>
    </w:p>
    <w:p w14:paraId="0BF3B48C">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（二）项目绩效目标</w:t>
      </w:r>
    </w:p>
    <w:p w14:paraId="2C3C4798">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kern w:val="0"/>
          <w:sz w:val="32"/>
          <w:szCs w:val="32"/>
          <w:highlight w:val="none"/>
          <w:lang w:val="en-US" w:eastAsia="zh-CN" w:bidi="ar-SA"/>
        </w:rPr>
        <w:t>1.总体目标</w:t>
      </w:r>
    </w:p>
    <w:p w14:paraId="79CC9229">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（1）加强巡查。制定巡查制度、巡逻路线和执勤点位，实行24小时全天候、全方位巡逻。执勤点位要定时、定点、定位及时与各个巡逻组进行信息沟通，有效处理突发事件。</w:t>
      </w:r>
    </w:p>
    <w:p w14:paraId="6DCB2122">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（2）加强应急演练、提高处突能力。联合118便民警务站与公园应急小分队，每周开展突发事件应急拉动演练，并与管辖社区十户联保机制相结合，设立“一键式”报警联动。</w:t>
      </w:r>
    </w:p>
    <w:p w14:paraId="4A109953">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安全隐患的排查。加强对园内道路、河道、木栈道、徒步道、安全护栏、林带、消防设备、电器设备安全隐患的排查力度，并在危险地段需设置安全警告、警示牌。在节假日及旅游旺季，制定了《景区安全防范应急预案》、《水磨沟公园旅游高峰期应急管理方案》在游客集中地段竖立指示标志，加强对游客的疏导，防止游客拥挤、踩踏事故发生。</w:t>
      </w:r>
    </w:p>
    <w:p w14:paraId="7AC8F9CC">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（4）成立应急救助措施。根据《水磨沟公园安全应急处置预案》水磨沟公园安保队员建立紧急救援体系，成立应急救护队，形成统一指挥，反应迅速，运转高效的应急机制。</w:t>
      </w:r>
    </w:p>
    <w:p w14:paraId="399386F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color w:val="FF0000"/>
          <w:sz w:val="30"/>
          <w:szCs w:val="30"/>
          <w:highlight w:val="none"/>
        </w:rPr>
      </w:pPr>
      <w:r>
        <w:rPr>
          <w:rFonts w:hint="default" w:ascii="Times New Roman" w:hAnsi="Times New Roman" w:eastAsia="仿宋_GB2312" w:cs="Times New Roman"/>
          <w:b/>
          <w:bCs/>
          <w:kern w:val="0"/>
          <w:sz w:val="32"/>
          <w:szCs w:val="32"/>
          <w:highlight w:val="none"/>
          <w:lang w:val="en-US" w:eastAsia="zh-CN" w:bidi="ar-SA"/>
        </w:rPr>
        <w:t>2.阶段性目标</w:t>
      </w:r>
    </w:p>
    <w:p w14:paraId="5DFF1ED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DFDFE"/>
        <w:kinsoku/>
        <w:wordWrap/>
        <w:overflowPunct/>
        <w:topLinePunct w:val="0"/>
        <w:autoSpaceDE/>
        <w:autoSpaceDN/>
        <w:bidi w:val="0"/>
        <w:adjustRightInd/>
        <w:snapToGrid/>
        <w:spacing w:before="210" w:beforeAutospacing="0" w:after="120" w:afterAutospacing="0" w:line="560" w:lineRule="exact"/>
        <w:ind w:right="0"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（1）绿化补植与养护强化（3 - 5月</w:t>
      </w:r>
      <w:r>
        <w:rPr>
          <w:rFonts w:hint="eastAsia"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9 - 10月）</w:t>
      </w:r>
    </w:p>
    <w:p w14:paraId="2D44131C">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春季完成绿化补植，提升绿地景观效果。秋季开展绿地植物补种植工作，拟计划新增绿地面积1000平方米。</w:t>
      </w:r>
    </w:p>
    <w:p w14:paraId="16939917">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全年绿化养护标准化</w:t>
      </w:r>
    </w:p>
    <w:p w14:paraId="339480B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严格遵循绿化养护标准，生长季每周浇水1 - 2次，休眠季每月浇水1次；春季和秋季病虫害防治喷洒药物和施肥至少1次；每月修剪1次乔灌木，及时清理枯枝落叶，确保植物成活率达95%以上。</w:t>
      </w:r>
    </w:p>
    <w:p w14:paraId="3652E212">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安全隐患排查</w:t>
      </w:r>
    </w:p>
    <w:p w14:paraId="3AE851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每月至少进行1次全面安全隐患排查，涵盖设施、消防、水域、自然灾害等方面，建立隐患台账，限时整改。</w:t>
      </w:r>
    </w:p>
    <w:p w14:paraId="72E2D8B2">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14:paraId="7C0FDFAA">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（一）绩效评价目的、对象和范围</w:t>
      </w:r>
    </w:p>
    <w:p w14:paraId="38524D6B">
      <w:pPr>
        <w:pStyle w:val="20"/>
        <w:spacing w:line="560" w:lineRule="exact"/>
        <w:ind w:firstLine="64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w:t>
      </w: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bCs/>
          <w:sz w:val="32"/>
          <w:szCs w:val="32"/>
          <w:highlight w:val="none"/>
        </w:rPr>
        <w:t>绩效评价的目的</w:t>
      </w:r>
    </w:p>
    <w:p w14:paraId="72B280A4">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FF57956">
      <w:pPr>
        <w:numPr>
          <w:ilvl w:val="0"/>
          <w:numId w:val="2"/>
        </w:num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项目在实施前向项目负责人提供财政支出绩效方面的资金管理信息，促进项目支出严格按照资金管理规定进行。</w:t>
      </w:r>
    </w:p>
    <w:p w14:paraId="2DA7CBD1">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（2）项目绩效管理财政支出运行提供及时、有效的信息。</w:t>
      </w:r>
    </w:p>
    <w:p w14:paraId="3F64B295">
      <w:pPr>
        <w:pStyle w:val="20"/>
        <w:spacing w:line="560" w:lineRule="exact"/>
        <w:ind w:firstLine="640" w:firstLineChars="200"/>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0C02A5D">
      <w:pPr>
        <w:pStyle w:val="20"/>
        <w:spacing w:line="560" w:lineRule="exact"/>
        <w:ind w:firstLine="64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2</w:t>
      </w: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bCs/>
          <w:sz w:val="32"/>
          <w:szCs w:val="32"/>
          <w:highlight w:val="none"/>
        </w:rPr>
        <w:t>绩效评价的对象</w:t>
      </w:r>
    </w:p>
    <w:p w14:paraId="631BE231">
      <w:pPr>
        <w:keepNext w:val="0"/>
        <w:keepLines w:val="0"/>
        <w:pageBreakBefore w:val="0"/>
        <w:widowControl w:val="0"/>
        <w:kinsoku/>
        <w:wordWrap/>
        <w:overflowPunct/>
        <w:topLinePunct w:val="0"/>
        <w:autoSpaceDE/>
        <w:autoSpaceDN/>
        <w:bidi w:val="0"/>
        <w:adjustRightInd/>
        <w:snapToGrid/>
        <w:spacing w:line="700" w:lineRule="exact"/>
        <w:ind w:left="420" w:left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消化2021年暂付款项目所包含的全部项目内容。</w:t>
      </w:r>
    </w:p>
    <w:p w14:paraId="174A4EB5">
      <w:pPr>
        <w:pStyle w:val="20"/>
        <w:spacing w:line="560" w:lineRule="exact"/>
        <w:ind w:firstLine="64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bCs/>
          <w:sz w:val="32"/>
          <w:szCs w:val="32"/>
          <w:highlight w:val="none"/>
        </w:rPr>
        <w:t>绩效评价的范围</w:t>
      </w:r>
    </w:p>
    <w:p w14:paraId="3E49194F">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次评价从项目决策（包括绩效目标、决策过程）、项目管理（包括项目资金、项目实施）、项目产出（包括项目产出数量、产出质量、产出时效和产出成本）项目效益四个维度对消化2021年暂付款进行评价，评价核心为专项资金的支出完成情况和效果。</w:t>
      </w:r>
    </w:p>
    <w:p w14:paraId="22CDBF26">
      <w:pPr>
        <w:spacing w:line="560" w:lineRule="exact"/>
        <w:ind w:firstLine="643"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w:t>
      </w:r>
      <w:r>
        <w:rPr>
          <w:rFonts w:hint="default" w:ascii="Times New Roman" w:hAnsi="Times New Roman" w:eastAsia="楷体_GB2312" w:cs="Times New Roman"/>
          <w:b/>
          <w:bCs/>
          <w:sz w:val="32"/>
          <w:szCs w:val="32"/>
          <w:highlight w:val="none"/>
          <w:lang w:val="en-US" w:eastAsia="zh-CN"/>
        </w:rPr>
        <w:t>附件2</w:t>
      </w:r>
      <w:r>
        <w:rPr>
          <w:rFonts w:hint="default" w:ascii="Times New Roman" w:hAnsi="Times New Roman" w:eastAsia="楷体_GB2312" w:cs="Times New Roman"/>
          <w:b/>
          <w:bCs/>
          <w:sz w:val="32"/>
          <w:szCs w:val="32"/>
          <w:highlight w:val="none"/>
        </w:rPr>
        <w:t>）、评价方法、评价标准</w:t>
      </w:r>
    </w:p>
    <w:p w14:paraId="76694B44">
      <w:pPr>
        <w:pStyle w:val="20"/>
        <w:spacing w:line="560" w:lineRule="exact"/>
        <w:ind w:firstLine="64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w:t>
      </w: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bCs/>
          <w:sz w:val="32"/>
          <w:szCs w:val="32"/>
          <w:highlight w:val="none"/>
        </w:rPr>
        <w:t>绩效评价原则</w:t>
      </w:r>
    </w:p>
    <w:p w14:paraId="66E4F41D">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14:paraId="0E010FEB">
      <w:pPr>
        <w:pStyle w:val="9"/>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14:paraId="5226CADD">
      <w:pPr>
        <w:pStyle w:val="9"/>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14:paraId="4205BE49">
      <w:pPr>
        <w:pStyle w:val="9"/>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（3）激励约束。绩效评价结果应与预算安排、政策调整、改进管理实质性挂钩，体现奖优罚劣和激励相容导向，有效要安排、低效要压减、无效要问责。</w:t>
      </w:r>
    </w:p>
    <w:p w14:paraId="219781C2">
      <w:pPr>
        <w:pStyle w:val="9"/>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（4）公开透明。绩效评价结果应依法依规公开，并自觉接受社会监督。</w:t>
      </w:r>
    </w:p>
    <w:p w14:paraId="63D78C26">
      <w:pPr>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2</w:t>
      </w: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bCs/>
          <w:sz w:val="32"/>
          <w:szCs w:val="32"/>
          <w:highlight w:val="none"/>
        </w:rPr>
        <w:t>评价指标体系</w:t>
      </w:r>
    </w:p>
    <w:p w14:paraId="32BE6839">
      <w:pPr>
        <w:spacing w:line="560" w:lineRule="exact"/>
        <w:ind w:firstLine="708" w:firstLineChars="200"/>
        <w:rPr>
          <w:rFonts w:hint="default" w:ascii="Times New Roman" w:hAnsi="Times New Roman"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绩效评价框架是开展绩效评价的核心。绩效评价框架包括评价准则、关键评价问题、评价指标、数据来源、数据收集方法等。指标体系建立过程如下：</w:t>
      </w:r>
    </w:p>
    <w:p w14:paraId="3D3422EA">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（1）确定评价指标</w:t>
      </w:r>
    </w:p>
    <w:p w14:paraId="7EAD84AC">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36E045EC">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（2）确定权重</w:t>
      </w:r>
    </w:p>
    <w:p w14:paraId="51A778FA">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确定各个指标相对于项目总体绩效的权重分值。在绩效评价指标体系中，项目决策权重为20分，项目过程权重为20分，项目产出权重为40分，项目效益权重为20分。</w:t>
      </w:r>
    </w:p>
    <w:p w14:paraId="54818F42">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（3）确定指标标准值</w:t>
      </w:r>
    </w:p>
    <w:p w14:paraId="292C6080">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14:paraId="3A9D76B4">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highlight w:val="none"/>
        </w:rPr>
      </w:pPr>
      <w:r>
        <w:rPr>
          <w:rFonts w:hint="default" w:ascii="Times New Roman" w:hAnsi="Times New Roman" w:eastAsia="仿宋_GB2312" w:cs="Times New Roman"/>
          <w:b w:val="0"/>
          <w:bCs w:val="0"/>
          <w:color w:val="000000"/>
          <w:spacing w:val="17"/>
          <w:kern w:val="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4DE1019">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highlight w:val="none"/>
          <w:lang w:val="en-US" w:eastAsia="zh-CN"/>
        </w:rPr>
      </w:pPr>
      <w:r>
        <w:rPr>
          <w:rFonts w:hint="default" w:ascii="Times New Roman" w:hAnsi="Times New Roman" w:eastAsia="仿宋_GB2312" w:cs="Times New Roman"/>
          <w:b w:val="0"/>
          <w:bCs w:val="0"/>
          <w:color w:val="000000"/>
          <w:spacing w:val="17"/>
          <w:highlight w:val="none"/>
        </w:rPr>
        <w:t>具体评价指标体系详情见附件</w:t>
      </w:r>
      <w:r>
        <w:rPr>
          <w:rFonts w:hint="default" w:ascii="Times New Roman" w:hAnsi="Times New Roman" w:eastAsia="仿宋_GB2312" w:cs="Times New Roman"/>
          <w:b w:val="0"/>
          <w:bCs w:val="0"/>
          <w:color w:val="000000"/>
          <w:spacing w:val="17"/>
          <w:highlight w:val="none"/>
          <w:lang w:val="en-US" w:eastAsia="zh-CN"/>
        </w:rPr>
        <w:t>2。</w:t>
      </w:r>
    </w:p>
    <w:p w14:paraId="756895E3">
      <w:pPr>
        <w:pStyle w:val="20"/>
        <w:spacing w:line="560" w:lineRule="exact"/>
        <w:ind w:firstLine="64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bCs/>
          <w:sz w:val="32"/>
          <w:szCs w:val="32"/>
          <w:highlight w:val="none"/>
        </w:rPr>
        <w:t>绩效评价方法</w:t>
      </w:r>
    </w:p>
    <w:p w14:paraId="2CCB9582">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64270C06">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23468FB1">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（1）比较法</w:t>
      </w:r>
    </w:p>
    <w:p w14:paraId="79E35B75">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通过对绩效目标与实施效果、历史与当期情况，综合分析绩效目标实现程度。对</w:t>
      </w:r>
      <w:r>
        <w:rPr>
          <w:rFonts w:hint="default" w:ascii="Times New Roman" w:hAnsi="Times New Roman" w:eastAsia="仿宋_GB2312" w:cs="Times New Roman"/>
          <w:sz w:val="32"/>
          <w:szCs w:val="32"/>
          <w:highlight w:val="none"/>
        </w:rPr>
        <w:t>项目</w:t>
      </w:r>
      <w:r>
        <w:rPr>
          <w:rFonts w:hint="default" w:ascii="Times New Roman" w:hAnsi="Times New Roman" w:eastAsia="仿宋_GB2312" w:cs="Times New Roman"/>
          <w:color w:val="000000"/>
          <w:spacing w:val="17"/>
          <w:sz w:val="32"/>
          <w:szCs w:val="32"/>
          <w:highlight w:val="none"/>
        </w:rPr>
        <w:t>最终验收情况与年度绩效目标对比、预算资金执行情况等相关因素进行比较。</w:t>
      </w:r>
    </w:p>
    <w:p w14:paraId="5526CBD2">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（2）因素分析法</w:t>
      </w:r>
    </w:p>
    <w:p w14:paraId="0C358EAA">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通过综合分析影响绩效目标实现、实施效果的内外因素，评价绩效目标实现程度。通过对</w:t>
      </w:r>
      <w:r>
        <w:rPr>
          <w:rFonts w:hint="default" w:ascii="Times New Roman" w:hAnsi="Times New Roman" w:eastAsia="仿宋_GB2312" w:cs="Times New Roman"/>
          <w:sz w:val="32"/>
          <w:szCs w:val="32"/>
          <w:highlight w:val="none"/>
        </w:rPr>
        <w:t>项目</w:t>
      </w:r>
      <w:r>
        <w:rPr>
          <w:rFonts w:hint="default" w:ascii="Times New Roman" w:hAnsi="Times New Roman" w:eastAsia="仿宋_GB2312" w:cs="Times New Roman"/>
          <w:color w:val="000000"/>
          <w:spacing w:val="17"/>
          <w:sz w:val="32"/>
          <w:szCs w:val="32"/>
          <w:highlight w:val="none"/>
        </w:rPr>
        <w:t>的开展情况、项目产出数量、成本控制、资金拨付文件及自评报告等相关资料的收集和审核，综合分析各因素对绩效目标实现的影响。</w:t>
      </w:r>
    </w:p>
    <w:p w14:paraId="3C9D6BBF">
      <w:pPr>
        <w:pStyle w:val="20"/>
        <w:spacing w:line="560" w:lineRule="exact"/>
        <w:ind w:firstLine="64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4</w:t>
      </w: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bCs/>
          <w:sz w:val="32"/>
          <w:szCs w:val="32"/>
          <w:highlight w:val="none"/>
        </w:rPr>
        <w:t>评价标准</w:t>
      </w:r>
    </w:p>
    <w:p w14:paraId="4765BB06">
      <w:pPr>
        <w:spacing w:line="560" w:lineRule="exact"/>
        <w:ind w:firstLine="640"/>
        <w:rPr>
          <w:rFonts w:hint="default" w:ascii="Times New Roman" w:hAnsi="Times New Roman" w:eastAsia="方正仿宋_GBK" w:cs="Times New Roman"/>
          <w:color w:val="FF0000"/>
          <w:sz w:val="32"/>
          <w:szCs w:val="32"/>
          <w:highlight w:val="none"/>
        </w:rPr>
      </w:pPr>
      <w:r>
        <w:rPr>
          <w:rFonts w:hint="default" w:ascii="Times New Roman" w:hAnsi="Times New Roman" w:eastAsia="方正仿宋_GBK" w:cs="Times New Roman"/>
          <w:sz w:val="32"/>
          <w:szCs w:val="32"/>
          <w:highlight w:val="none"/>
        </w:rPr>
        <w:t>绩效评价标准通常包括计划标准、行业标准、历史标准等，用于对绩效指标完成情况进行比较、分析、评价。本次评价主要采用了历史标准。</w:t>
      </w:r>
    </w:p>
    <w:p w14:paraId="7E5DC29D">
      <w:pPr>
        <w:spacing w:line="560" w:lineRule="exact"/>
        <w:ind w:firstLine="640"/>
        <w:rPr>
          <w:rFonts w:hint="default" w:ascii="Times New Roman" w:hAnsi="Times New Roman" w:eastAsia="方正仿宋_GBK" w:cs="Times New Roman"/>
          <w:sz w:val="32"/>
          <w:szCs w:val="32"/>
          <w:highlight w:val="none"/>
        </w:rPr>
      </w:pPr>
      <w:bookmarkStart w:id="0" w:name="_Toc430"/>
      <w:bookmarkStart w:id="1" w:name="_Toc16028"/>
      <w:r>
        <w:rPr>
          <w:rFonts w:hint="default" w:ascii="Times New Roman" w:hAnsi="Times New Roman" w:eastAsia="方正仿宋_GBK" w:cs="Times New Roman"/>
          <w:b/>
          <w:bCs/>
          <w:sz w:val="32"/>
          <w:szCs w:val="32"/>
          <w:highlight w:val="none"/>
        </w:rPr>
        <w:t>历史标准：</w:t>
      </w:r>
      <w:r>
        <w:rPr>
          <w:rFonts w:hint="default" w:ascii="Times New Roman" w:hAnsi="Times New Roman" w:eastAsia="方正仿宋_GBK" w:cs="Times New Roman"/>
          <w:sz w:val="32"/>
          <w:szCs w:val="32"/>
          <w:highlight w:val="none"/>
        </w:rPr>
        <w:t>指参照历史数据制定的评价标准，为体现绩效改进的原则，在可实现的条件下应当确定相对较高的评价标准。</w:t>
      </w:r>
      <w:bookmarkEnd w:id="0"/>
      <w:bookmarkEnd w:id="1"/>
    </w:p>
    <w:p w14:paraId="4DAB5A3F">
      <w:pPr>
        <w:pStyle w:val="9"/>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14:paraId="6C5F586F">
      <w:pPr>
        <w:spacing w:line="560" w:lineRule="exact"/>
        <w:ind w:firstLine="643"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bCs/>
          <w:sz w:val="32"/>
          <w:szCs w:val="32"/>
          <w:highlight w:val="none"/>
        </w:rPr>
        <w:t>1.前期准备。</w:t>
      </w:r>
      <w:r>
        <w:rPr>
          <w:rFonts w:hint="default" w:ascii="Times New Roman" w:hAnsi="Times New Roman" w:eastAsia="仿宋_GB2312" w:cs="Times New Roman"/>
          <w:bCs/>
          <w:sz w:val="32"/>
          <w:szCs w:val="32"/>
          <w:highlight w:val="none"/>
        </w:rPr>
        <w:t>首先成立评价工作组，开展前期调研；其次明确项目绩效目标，设计绩效评价指标体系并确定绩效评价方法；接着确定现场和非现场评价范围，设计资料清单；最后制定评价实施方案并进行论证。</w:t>
      </w:r>
    </w:p>
    <w:p w14:paraId="46D1FC89">
      <w:pPr>
        <w:spacing w:line="560" w:lineRule="exact"/>
        <w:ind w:firstLine="643"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bCs/>
          <w:sz w:val="32"/>
          <w:szCs w:val="32"/>
          <w:highlight w:val="none"/>
        </w:rPr>
        <w:t>2.组织实施。</w:t>
      </w:r>
      <w:r>
        <w:rPr>
          <w:rFonts w:hint="default" w:ascii="Times New Roman" w:hAnsi="Times New Roman" w:eastAsia="仿宋_GB2312" w:cs="Times New Roman"/>
          <w:bCs/>
          <w:sz w:val="32"/>
          <w:szCs w:val="32"/>
          <w:highlight w:val="none"/>
        </w:rPr>
        <w:t>制定绩效评价工作方案，具体包括项目概况、评价思路、方法手段、组织实施、进度安排等。收集项目立项依据、相关会议纪要、实施方案、财政资金分配方案、支付管理情况等相关评价资料并进行梳理。</w:t>
      </w:r>
    </w:p>
    <w:p w14:paraId="491B40B7">
      <w:pPr>
        <w:spacing w:line="560" w:lineRule="exact"/>
        <w:ind w:firstLine="643" w:firstLineChars="200"/>
        <w:rPr>
          <w:rFonts w:hint="default" w:ascii="Times New Roman" w:hAnsi="Times New Roman" w:cs="Times New Roman"/>
          <w:sz w:val="32"/>
          <w:szCs w:val="32"/>
          <w:highlight w:val="none"/>
        </w:rPr>
      </w:pPr>
      <w:r>
        <w:rPr>
          <w:rFonts w:hint="default" w:ascii="Times New Roman" w:hAnsi="Times New Roman" w:eastAsia="仿宋_GB2312" w:cs="Times New Roman"/>
          <w:b/>
          <w:bCs/>
          <w:sz w:val="32"/>
          <w:szCs w:val="32"/>
          <w:highlight w:val="none"/>
        </w:rPr>
        <w:t>3.分析评价。</w:t>
      </w:r>
      <w:r>
        <w:rPr>
          <w:rFonts w:hint="default" w:ascii="Times New Roman" w:hAnsi="Times New Roman" w:eastAsia="仿宋_GB2312" w:cs="Times New Roman"/>
          <w:bCs/>
          <w:sz w:val="32"/>
          <w:szCs w:val="32"/>
          <w:highlight w:val="none"/>
        </w:rPr>
        <w:t>根据收集梳理的资料围绕项目立项、资金落实、业务管理、财务管理、项目产出、项目效益等内容，对照已确定的绩效评价指标进行详细全面的分析评价，逐项打分并形成绩效评价最终结果。</w:t>
      </w:r>
    </w:p>
    <w:p w14:paraId="4FB03F87">
      <w:pPr>
        <w:numPr>
          <w:ilvl w:val="0"/>
          <w:numId w:val="4"/>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14:paraId="57E5590F">
      <w:pPr>
        <w:pStyle w:val="9"/>
        <w:spacing w:before="0" w:after="0" w:line="560" w:lineRule="exact"/>
        <w:ind w:firstLine="643"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（一）评价情况</w:t>
      </w:r>
    </w:p>
    <w:p w14:paraId="27D5B88D">
      <w:pPr>
        <w:spacing w:line="600" w:lineRule="exact"/>
        <w:ind w:firstLine="640" w:firstLineChars="200"/>
        <w:outlineLvl w:val="0"/>
        <w:rPr>
          <w:rFonts w:hint="default" w:ascii="Times New Roman" w:hAnsi="Times New Roman" w:eastAsia="仿宋_GB2312" w:cs="Times New Roman"/>
          <w:kern w:val="28"/>
          <w:sz w:val="32"/>
          <w:szCs w:val="32"/>
          <w:highlight w:val="none"/>
        </w:rPr>
      </w:pPr>
      <w:r>
        <w:rPr>
          <w:rFonts w:hint="default" w:ascii="Times New Roman" w:hAnsi="Times New Roman" w:eastAsia="仿宋_GB2312" w:cs="Times New Roman"/>
          <w:kern w:val="28"/>
          <w:sz w:val="32"/>
          <w:szCs w:val="32"/>
          <w:highlight w:val="none"/>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AC54CF9">
      <w:pPr>
        <w:pStyle w:val="9"/>
        <w:spacing w:before="0" w:after="0" w:line="560" w:lineRule="exact"/>
        <w:ind w:firstLine="643"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（二）评价结论</w:t>
      </w:r>
    </w:p>
    <w:p w14:paraId="0769F56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highlight w:val="none"/>
          <w:lang w:val="en-US" w:eastAsia="zh-CN"/>
        </w:rPr>
        <w:t>96.67</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default"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16.67</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w:t>
      </w:r>
      <w:r>
        <w:rPr>
          <w:rFonts w:hint="default" w:ascii="Times New Roman" w:hAnsi="Times New Roman" w:eastAsia="仿宋_GB2312" w:cs="Times New Roman"/>
          <w:b w:val="0"/>
          <w:bCs w:val="0"/>
          <w:highlight w:val="none"/>
          <w:lang w:val="en-US" w:eastAsia="zh-CN"/>
        </w:rPr>
        <w:t>表</w:t>
      </w: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综合评分表。</w:t>
      </w:r>
    </w:p>
    <w:p w14:paraId="0DE02864">
      <w:pPr>
        <w:pStyle w:val="9"/>
        <w:spacing w:before="0" w:after="0"/>
        <w:rPr>
          <w:rFonts w:hint="default" w:ascii="Times New Roman" w:hAnsi="Times New Roman" w:eastAsia="仿宋_GB2312" w:cs="Times New Roman"/>
          <w:sz w:val="30"/>
          <w:szCs w:val="30"/>
          <w:highlight w:val="none"/>
        </w:rPr>
      </w:pPr>
      <w:r>
        <w:rPr>
          <w:rFonts w:hint="default" w:ascii="Times New Roman" w:hAnsi="Times New Roman" w:eastAsia="仿宋_GB2312" w:cs="Times New Roman"/>
          <w:sz w:val="30"/>
          <w:szCs w:val="30"/>
          <w:highlight w:val="none"/>
        </w:rPr>
        <w:t>表1</w:t>
      </w:r>
      <w:r>
        <w:rPr>
          <w:rFonts w:hint="default" w:ascii="Times New Roman" w:hAnsi="Times New Roman" w:eastAsia="仿宋_GB2312" w:cs="Times New Roman"/>
          <w:sz w:val="30"/>
          <w:szCs w:val="30"/>
          <w:highlight w:val="none"/>
          <w:lang w:val="en-US" w:eastAsia="zh-CN"/>
        </w:rPr>
        <w:t>.</w:t>
      </w:r>
      <w:r>
        <w:rPr>
          <w:rFonts w:hint="default" w:ascii="Times New Roman" w:hAnsi="Times New Roman" w:eastAsia="仿宋_GB2312" w:cs="Times New Roman"/>
          <w:sz w:val="30"/>
          <w:szCs w:val="30"/>
          <w:highlight w:val="none"/>
        </w:rPr>
        <w:t>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5B1029A6">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B72CBD9">
            <w:pPr>
              <w:jc w:val="center"/>
              <w:rPr>
                <w:rFonts w:hint="default" w:ascii="Times New Roman" w:hAnsi="Times New Roman" w:cs="Times New Roman"/>
                <w:b/>
                <w:bCs/>
                <w:color w:val="000000"/>
                <w:sz w:val="22"/>
                <w:highlight w:val="none"/>
              </w:rPr>
            </w:pPr>
            <w:r>
              <w:rPr>
                <w:rFonts w:hint="default" w:ascii="Times New Roman" w:hAnsi="Times New Roman" w:cs="Times New Roman"/>
                <w:b/>
                <w:bCs/>
                <w:color w:val="000000"/>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600B12DA">
            <w:pPr>
              <w:jc w:val="center"/>
              <w:rPr>
                <w:rFonts w:hint="default" w:ascii="Times New Roman" w:hAnsi="Times New Roman" w:cs="Times New Roman"/>
                <w:b/>
                <w:bCs/>
                <w:color w:val="000000"/>
                <w:sz w:val="22"/>
                <w:highlight w:val="none"/>
              </w:rPr>
            </w:pPr>
            <w:r>
              <w:rPr>
                <w:rFonts w:hint="default" w:ascii="Times New Roman" w:hAnsi="Times New Roman" w:cs="Times New Roman"/>
                <w:b/>
                <w:bCs/>
                <w:color w:val="000000"/>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130D031F">
            <w:pPr>
              <w:jc w:val="center"/>
              <w:rPr>
                <w:rFonts w:hint="default" w:ascii="Times New Roman" w:hAnsi="Times New Roman" w:cs="Times New Roman"/>
                <w:b/>
                <w:bCs/>
                <w:color w:val="000000"/>
                <w:sz w:val="22"/>
                <w:highlight w:val="none"/>
              </w:rPr>
            </w:pPr>
            <w:r>
              <w:rPr>
                <w:rFonts w:hint="default" w:ascii="Times New Roman" w:hAnsi="Times New Roman" w:cs="Times New Roman"/>
                <w:b/>
                <w:bCs/>
                <w:color w:val="000000"/>
                <w:sz w:val="22"/>
                <w:highlight w:val="none"/>
              </w:rPr>
              <w:t>得分</w:t>
            </w:r>
          </w:p>
        </w:tc>
      </w:tr>
      <w:tr w14:paraId="6A1EEAD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4C80B4F">
            <w:pPr>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01449A17">
            <w:pPr>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70E339DD">
            <w:pPr>
              <w:jc w:val="center"/>
              <w:rPr>
                <w:rFonts w:hint="default" w:ascii="Times New Roman" w:hAnsi="Times New Roman" w:eastAsia="宋体" w:cs="Times New Roman"/>
                <w:color w:val="000000"/>
                <w:sz w:val="22"/>
                <w:highlight w:val="none"/>
                <w:lang w:val="en-US" w:eastAsia="zh-CN"/>
              </w:rPr>
            </w:pPr>
            <w:r>
              <w:rPr>
                <w:rFonts w:hint="eastAsia" w:cs="Times New Roman"/>
                <w:color w:val="000000"/>
                <w:sz w:val="22"/>
                <w:highlight w:val="none"/>
                <w:lang w:val="en-US" w:eastAsia="zh-CN"/>
              </w:rPr>
              <w:t>20</w:t>
            </w:r>
          </w:p>
        </w:tc>
      </w:tr>
      <w:tr w14:paraId="1CB6360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6B71820">
            <w:pPr>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4F6CFC58">
            <w:pPr>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4579ED14">
            <w:pPr>
              <w:jc w:val="center"/>
              <w:rPr>
                <w:rFonts w:hint="default" w:ascii="Times New Roman" w:hAnsi="Times New Roman" w:eastAsia="宋体" w:cs="Times New Roman"/>
                <w:color w:val="000000"/>
                <w:sz w:val="22"/>
                <w:highlight w:val="none"/>
                <w:lang w:val="en-US" w:eastAsia="zh-CN"/>
              </w:rPr>
            </w:pPr>
            <w:r>
              <w:rPr>
                <w:rFonts w:hint="default" w:ascii="Times New Roman" w:hAnsi="Times New Roman" w:cs="Times New Roman"/>
                <w:color w:val="000000"/>
                <w:sz w:val="22"/>
                <w:highlight w:val="none"/>
                <w:lang w:val="en-US" w:eastAsia="zh-CN"/>
              </w:rPr>
              <w:t>20</w:t>
            </w:r>
          </w:p>
        </w:tc>
      </w:tr>
      <w:tr w14:paraId="34D691F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81D19E5">
            <w:pPr>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3858C82D">
            <w:pPr>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40</w:t>
            </w:r>
          </w:p>
        </w:tc>
        <w:tc>
          <w:tcPr>
            <w:tcW w:w="2278" w:type="dxa"/>
            <w:tcBorders>
              <w:top w:val="nil"/>
              <w:left w:val="nil"/>
              <w:bottom w:val="single" w:color="auto" w:sz="4" w:space="0"/>
              <w:right w:val="single" w:color="auto" w:sz="4" w:space="0"/>
            </w:tcBorders>
            <w:shd w:val="clear" w:color="auto" w:fill="auto"/>
            <w:vAlign w:val="center"/>
          </w:tcPr>
          <w:p w14:paraId="3361F199">
            <w:pPr>
              <w:jc w:val="center"/>
              <w:rPr>
                <w:rFonts w:hint="default" w:ascii="Times New Roman" w:hAnsi="Times New Roman" w:eastAsia="宋体" w:cs="Times New Roman"/>
                <w:color w:val="000000"/>
                <w:sz w:val="22"/>
                <w:highlight w:val="none"/>
                <w:lang w:val="en-US" w:eastAsia="zh-CN"/>
              </w:rPr>
            </w:pPr>
            <w:r>
              <w:rPr>
                <w:rFonts w:hint="default" w:ascii="Times New Roman" w:hAnsi="Times New Roman" w:cs="Times New Roman"/>
                <w:color w:val="000000"/>
                <w:sz w:val="22"/>
                <w:highlight w:val="none"/>
                <w:lang w:val="en-US" w:eastAsia="zh-CN"/>
              </w:rPr>
              <w:t>40</w:t>
            </w:r>
          </w:p>
        </w:tc>
      </w:tr>
      <w:tr w14:paraId="0B5CCCD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9397F10">
            <w:pPr>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67A8A3C6">
            <w:pPr>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20C20AD6">
            <w:pPr>
              <w:jc w:val="center"/>
              <w:rPr>
                <w:rFonts w:hint="default" w:ascii="Times New Roman" w:hAnsi="Times New Roman" w:eastAsia="宋体" w:cs="Times New Roman"/>
                <w:color w:val="000000"/>
                <w:sz w:val="22"/>
                <w:highlight w:val="none"/>
                <w:lang w:val="en-US" w:eastAsia="zh-CN"/>
              </w:rPr>
            </w:pPr>
            <w:r>
              <w:rPr>
                <w:rFonts w:hint="eastAsia" w:cs="Times New Roman"/>
                <w:color w:val="000000"/>
                <w:sz w:val="22"/>
                <w:highlight w:val="none"/>
                <w:lang w:val="en-US" w:eastAsia="zh-CN"/>
              </w:rPr>
              <w:t>16.67</w:t>
            </w:r>
          </w:p>
        </w:tc>
      </w:tr>
      <w:tr w14:paraId="5AD35AD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F3A75D3">
            <w:pPr>
              <w:jc w:val="center"/>
              <w:rPr>
                <w:rFonts w:hint="default" w:ascii="Times New Roman" w:hAnsi="Times New Roman" w:cs="Times New Roman"/>
                <w:b/>
                <w:bCs/>
                <w:color w:val="000000"/>
                <w:sz w:val="22"/>
                <w:highlight w:val="none"/>
              </w:rPr>
            </w:pPr>
            <w:r>
              <w:rPr>
                <w:rFonts w:hint="default" w:ascii="Times New Roman" w:hAnsi="Times New Roman" w:cs="Times New Roman"/>
                <w:b/>
                <w:bCs/>
                <w:color w:val="000000"/>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77E9F6C3">
            <w:pPr>
              <w:jc w:val="center"/>
              <w:rPr>
                <w:rFonts w:hint="default" w:ascii="Times New Roman" w:hAnsi="Times New Roman" w:cs="Times New Roman"/>
                <w:b/>
                <w:bCs/>
                <w:color w:val="000000"/>
                <w:sz w:val="22"/>
                <w:highlight w:val="none"/>
              </w:rPr>
            </w:pPr>
            <w:r>
              <w:rPr>
                <w:rFonts w:hint="default" w:ascii="Times New Roman" w:hAnsi="Times New Roman" w:cs="Times New Roman"/>
                <w:b/>
                <w:bCs/>
                <w:color w:val="000000"/>
                <w:sz w:val="22"/>
                <w:highlight w:val="none"/>
              </w:rPr>
              <w:t>100</w:t>
            </w:r>
          </w:p>
        </w:tc>
        <w:tc>
          <w:tcPr>
            <w:tcW w:w="2278" w:type="dxa"/>
            <w:tcBorders>
              <w:top w:val="nil"/>
              <w:left w:val="nil"/>
              <w:bottom w:val="single" w:color="auto" w:sz="4" w:space="0"/>
              <w:right w:val="single" w:color="auto" w:sz="4" w:space="0"/>
            </w:tcBorders>
            <w:shd w:val="clear" w:color="auto" w:fill="auto"/>
            <w:vAlign w:val="center"/>
          </w:tcPr>
          <w:p w14:paraId="0E8FBD57">
            <w:pPr>
              <w:jc w:val="center"/>
              <w:rPr>
                <w:rFonts w:hint="default" w:ascii="Times New Roman" w:hAnsi="Times New Roman" w:eastAsia="宋体" w:cs="Times New Roman"/>
                <w:b/>
                <w:bCs/>
                <w:color w:val="000000"/>
                <w:sz w:val="22"/>
                <w:highlight w:val="none"/>
                <w:lang w:val="en-US" w:eastAsia="zh-CN"/>
              </w:rPr>
            </w:pPr>
            <w:r>
              <w:rPr>
                <w:rFonts w:hint="eastAsia" w:cs="Times New Roman"/>
                <w:b/>
                <w:bCs/>
                <w:color w:val="000000"/>
                <w:sz w:val="22"/>
                <w:highlight w:val="none"/>
                <w:lang w:val="en-US" w:eastAsia="zh-CN"/>
              </w:rPr>
              <w:t>96.67</w:t>
            </w:r>
          </w:p>
        </w:tc>
      </w:tr>
    </w:tbl>
    <w:p w14:paraId="79F0A726">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14:paraId="30A78BAE">
      <w:pPr>
        <w:pStyle w:val="9"/>
        <w:spacing w:before="0" w:after="0" w:line="560" w:lineRule="exact"/>
        <w:ind w:firstLine="643"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14:paraId="51846FF6">
      <w:pPr>
        <w:spacing w:line="600" w:lineRule="exact"/>
        <w:ind w:firstLine="600" w:firstLineChars="200"/>
        <w:outlineLvl w:val="0"/>
        <w:rPr>
          <w:rFonts w:hint="default" w:ascii="Times New Roman" w:hAnsi="Times New Roman" w:eastAsia="仿宋_GB2312" w:cs="Times New Roman"/>
          <w:sz w:val="30"/>
          <w:szCs w:val="30"/>
          <w:highlight w:val="none"/>
        </w:rPr>
      </w:pPr>
      <w:r>
        <w:rPr>
          <w:rFonts w:hint="default" w:ascii="Times New Roman" w:hAnsi="Times New Roman" w:eastAsia="仿宋_GB2312" w:cs="Times New Roman"/>
          <w:sz w:val="30"/>
          <w:szCs w:val="30"/>
          <w:highlight w:val="none"/>
        </w:rPr>
        <w:t>项目决策类指标包括项目立项、绩效目标和资金投入三方面的内容，由6个三级指标构成，权重分值为20分，实际得分</w:t>
      </w:r>
      <w:r>
        <w:rPr>
          <w:rFonts w:hint="eastAsia" w:eastAsia="仿宋_GB2312" w:cs="Times New Roman"/>
          <w:sz w:val="30"/>
          <w:szCs w:val="30"/>
          <w:highlight w:val="none"/>
          <w:lang w:val="en-US" w:eastAsia="zh-CN"/>
        </w:rPr>
        <w:t>20</w:t>
      </w:r>
      <w:r>
        <w:rPr>
          <w:rFonts w:hint="default" w:ascii="Times New Roman" w:hAnsi="Times New Roman" w:eastAsia="仿宋_GB2312" w:cs="Times New Roman"/>
          <w:sz w:val="30"/>
          <w:szCs w:val="30"/>
          <w:highlight w:val="none"/>
        </w:rPr>
        <w:t>分，得分率为</w:t>
      </w:r>
      <w:r>
        <w:rPr>
          <w:rFonts w:hint="eastAsia" w:eastAsia="仿宋_GB2312" w:cs="Times New Roman"/>
          <w:sz w:val="30"/>
          <w:szCs w:val="30"/>
          <w:highlight w:val="none"/>
          <w:lang w:val="en-US" w:eastAsia="zh-CN"/>
        </w:rPr>
        <w:t>100</w:t>
      </w:r>
      <w:r>
        <w:rPr>
          <w:rFonts w:hint="default" w:ascii="Times New Roman" w:hAnsi="Times New Roman" w:eastAsia="仿宋_GB2312" w:cs="Times New Roman"/>
          <w:sz w:val="30"/>
          <w:szCs w:val="30"/>
          <w:highlight w:val="none"/>
        </w:rPr>
        <w:t>%。</w:t>
      </w:r>
    </w:p>
    <w:p w14:paraId="469E7429">
      <w:pPr>
        <w:pStyle w:val="20"/>
        <w:spacing w:line="560" w:lineRule="exact"/>
        <w:ind w:firstLine="64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1.项目立项</w:t>
      </w:r>
    </w:p>
    <w:p w14:paraId="06464A0D">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（1）立项依据充分性</w:t>
      </w:r>
    </w:p>
    <w:p w14:paraId="23A64F39">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3E8B0B7">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（2）立项程序规范性</w:t>
      </w:r>
    </w:p>
    <w:p w14:paraId="3D4A66ED">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69E6AB51">
      <w:pPr>
        <w:pStyle w:val="20"/>
        <w:spacing w:line="560" w:lineRule="exact"/>
        <w:ind w:firstLine="64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2.绩效目标</w:t>
      </w:r>
    </w:p>
    <w:p w14:paraId="06B10890">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（1）绩效目标合理性</w:t>
      </w:r>
    </w:p>
    <w:p w14:paraId="4DFDC8F8">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55D1E56">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（2）绩效指标明确性</w:t>
      </w:r>
    </w:p>
    <w:p w14:paraId="435BDD46">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项目设置了明确的预期产出效益和效果，将绩效目标细化分解为具体的绩效指标，绩效目标与项目目标任务数相对应，绩效目标设定的绩效指标清晰、细化、可衡量。</w:t>
      </w:r>
    </w:p>
    <w:p w14:paraId="266E2215">
      <w:pPr>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3.资金投入</w:t>
      </w:r>
    </w:p>
    <w:p w14:paraId="416DF57D">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（1）预算编制科学性</w:t>
      </w:r>
    </w:p>
    <w:p w14:paraId="07886E14">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预算编制经过科学论证，提供充分的测算依据佐证资料，预算内容与项目内容相匹配。项目投资额与工作任务相匹配。</w:t>
      </w:r>
    </w:p>
    <w:p w14:paraId="51748CF8">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（2）资金分配合理性</w:t>
      </w:r>
    </w:p>
    <w:p w14:paraId="2A065165">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资金分配额度与项目单位实际工作内容相适应，资金分配额度合理，资金分配依据充分。</w:t>
      </w:r>
    </w:p>
    <w:p w14:paraId="2DD30B55">
      <w:pPr>
        <w:pStyle w:val="9"/>
        <w:numPr>
          <w:ilvl w:val="0"/>
          <w:numId w:val="5"/>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7D0C249B">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项目过程类指标包括资金管理和组织实施两方面的内容，由5个三级指标构成，权重分值为20分，实际得分</w:t>
      </w:r>
      <w:r>
        <w:rPr>
          <w:rFonts w:hint="default"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分，得分率为</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p>
    <w:p w14:paraId="72BCFE9A">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项目资金使用符合相关的财务管理制度规定，能够反映和考核项目资金的规范运行情况；项目实施单位的财务和业务管理制度健全，能够反映和考核财务和业务管理制度对项目顺利实施的保障情况。</w:t>
      </w:r>
    </w:p>
    <w:p w14:paraId="421ECA30">
      <w:pPr>
        <w:pStyle w:val="20"/>
        <w:spacing w:line="560" w:lineRule="exact"/>
        <w:ind w:firstLine="64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1.资金管理</w:t>
      </w:r>
    </w:p>
    <w:p w14:paraId="7576557B">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（1）资金到位率</w:t>
      </w:r>
    </w:p>
    <w:p w14:paraId="3AFC649F">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本项目总投资</w:t>
      </w:r>
      <w:r>
        <w:rPr>
          <w:rFonts w:hint="default" w:ascii="Times New Roman" w:hAnsi="Times New Roman" w:eastAsia="仿宋_GB2312" w:cs="Times New Roman"/>
          <w:sz w:val="32"/>
          <w:szCs w:val="32"/>
          <w:highlight w:val="none"/>
          <w:lang w:val="en-US" w:eastAsia="zh-CN"/>
        </w:rPr>
        <w:t>107.85</w:t>
      </w:r>
      <w:r>
        <w:rPr>
          <w:rFonts w:hint="default" w:ascii="Times New Roman" w:hAnsi="Times New Roman" w:eastAsia="仿宋_GB2312" w:cs="Times New Roman"/>
          <w:sz w:val="32"/>
          <w:szCs w:val="32"/>
          <w:highlight w:val="none"/>
        </w:rPr>
        <w:t>万元，财政资金及时足额到位，到位率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%，预算资金按计划进度执行。</w:t>
      </w:r>
    </w:p>
    <w:p w14:paraId="7FC2F85B">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（2）预算执行率</w:t>
      </w:r>
    </w:p>
    <w:p w14:paraId="6914CD85">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预算编制较为详细，项目资金支出总体能够按照预算执行，预算资金支出</w:t>
      </w:r>
      <w:r>
        <w:rPr>
          <w:rFonts w:hint="default" w:ascii="Times New Roman" w:hAnsi="Times New Roman" w:eastAsia="仿宋_GB2312" w:cs="Times New Roman"/>
          <w:sz w:val="32"/>
          <w:szCs w:val="32"/>
          <w:highlight w:val="none"/>
          <w:lang w:val="en-US" w:eastAsia="zh-CN"/>
        </w:rPr>
        <w:t>107.85</w:t>
      </w:r>
      <w:r>
        <w:rPr>
          <w:rFonts w:hint="default" w:ascii="Times New Roman" w:hAnsi="Times New Roman" w:eastAsia="仿宋_GB2312" w:cs="Times New Roman"/>
          <w:sz w:val="32"/>
          <w:szCs w:val="32"/>
          <w:highlight w:val="none"/>
        </w:rPr>
        <w:t>万元，预算执行率为</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p>
    <w:p w14:paraId="7A6B1ED0">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（3）资金使用合规性</w:t>
      </w:r>
    </w:p>
    <w:p w14:paraId="2E0A39B0">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FD10560">
      <w:pPr>
        <w:pStyle w:val="20"/>
        <w:spacing w:line="560" w:lineRule="exact"/>
        <w:ind w:firstLine="64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2.组织实施</w:t>
      </w:r>
    </w:p>
    <w:p w14:paraId="6CB24099">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（1）管理制度健全性</w:t>
      </w:r>
    </w:p>
    <w:p w14:paraId="79839FF1">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57537ABB">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（2）制度执行有效性</w:t>
      </w:r>
    </w:p>
    <w:p w14:paraId="7E86DE0F">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对资金使用的合法合规性进行监督，年末对资金使用效果进行评价。项目管理、实施人员落实到位，有效按照计划执行。项目执行情况等资料齐全，项目相关手续完备，及时进行归档。</w:t>
      </w:r>
    </w:p>
    <w:p w14:paraId="6B9740B5">
      <w:pPr>
        <w:pStyle w:val="10"/>
        <w:numPr>
          <w:ilvl w:val="0"/>
          <w:numId w:val="5"/>
        </w:num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项目产出情况</w:t>
      </w:r>
    </w:p>
    <w:p w14:paraId="1747F302">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项目产出类指标包括产出数量、产出质量、产出时效、产出成本四方面的内容，由</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个三级指标构成，权重分为40分，实际得分</w:t>
      </w:r>
      <w:r>
        <w:rPr>
          <w:rFonts w:hint="default" w:ascii="Times New Roman" w:hAnsi="Times New Roman"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rPr>
        <w:t>分，得分率为</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%。具体产出指标完成情况如下：</w:t>
      </w:r>
    </w:p>
    <w:p w14:paraId="470345E0">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3FDFF9AA">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eastAsia="zh-CN"/>
        </w:rPr>
        <w:t>经费发放人数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大于等于</w:t>
      </w:r>
      <w:r>
        <w:rPr>
          <w:rFonts w:hint="default" w:ascii="Times New Roman" w:hAnsi="Times New Roman" w:eastAsia="仿宋_GB2312" w:cs="Times New Roman"/>
          <w:sz w:val="32"/>
          <w:szCs w:val="32"/>
          <w:highlight w:val="none"/>
          <w:lang w:val="en-US" w:eastAsia="zh-CN"/>
        </w:rPr>
        <w:t>114人</w:t>
      </w:r>
      <w:r>
        <w:rPr>
          <w:rFonts w:hint="default" w:ascii="Times New Roman" w:hAnsi="Times New Roman" w:eastAsia="仿宋_GB2312" w:cs="Times New Roman"/>
          <w:sz w:val="32"/>
          <w:szCs w:val="32"/>
          <w:highlight w:val="none"/>
        </w:rPr>
        <w:t>，实际完成值：</w:t>
      </w:r>
      <w:r>
        <w:rPr>
          <w:rFonts w:hint="default" w:ascii="Times New Roman" w:hAnsi="Times New Roman" w:eastAsia="仿宋_GB2312" w:cs="Times New Roman"/>
          <w:sz w:val="32"/>
          <w:szCs w:val="32"/>
          <w:highlight w:val="none"/>
          <w:lang w:val="en-US" w:eastAsia="zh-CN"/>
        </w:rPr>
        <w:t>114人</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w:t>
      </w:r>
    </w:p>
    <w:p w14:paraId="3E6EFB88">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指标2：</w:t>
      </w:r>
      <w:r>
        <w:rPr>
          <w:rFonts w:hint="default" w:ascii="Times New Roman" w:hAnsi="Times New Roman" w:eastAsia="仿宋_GB2312" w:cs="Times New Roman"/>
          <w:sz w:val="32"/>
          <w:szCs w:val="32"/>
          <w:highlight w:val="none"/>
          <w:lang w:eastAsia="zh-CN"/>
        </w:rPr>
        <w:t>日常巡查次数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大于等于</w:t>
      </w:r>
      <w:r>
        <w:rPr>
          <w:rFonts w:hint="default" w:ascii="Times New Roman" w:hAnsi="Times New Roman" w:eastAsia="仿宋_GB2312" w:cs="Times New Roman"/>
          <w:sz w:val="32"/>
          <w:szCs w:val="32"/>
          <w:highlight w:val="none"/>
          <w:lang w:val="en-US" w:eastAsia="zh-CN"/>
        </w:rPr>
        <w:t>2次</w:t>
      </w:r>
      <w:r>
        <w:rPr>
          <w:rFonts w:hint="default" w:ascii="Times New Roman" w:hAnsi="Times New Roman" w:eastAsia="仿宋_GB2312" w:cs="Times New Roman"/>
          <w:sz w:val="32"/>
          <w:szCs w:val="32"/>
          <w:highlight w:val="none"/>
        </w:rPr>
        <w:t>，实际完成值：</w:t>
      </w:r>
      <w:r>
        <w:rPr>
          <w:rFonts w:hint="default" w:ascii="Times New Roman" w:hAnsi="Times New Roman" w:eastAsia="仿宋_GB2312" w:cs="Times New Roman"/>
          <w:sz w:val="32"/>
          <w:szCs w:val="32"/>
          <w:highlight w:val="none"/>
          <w:lang w:val="en-US" w:eastAsia="zh-CN"/>
        </w:rPr>
        <w:t>2次</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w:t>
      </w:r>
    </w:p>
    <w:p w14:paraId="791B8925">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17B51084">
      <w:pPr>
        <w:snapToGrid w:val="0"/>
        <w:spacing w:line="54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重大安保任务无差错</w:t>
      </w:r>
      <w:r>
        <w:rPr>
          <w:rFonts w:hint="default" w:ascii="Times New Roman" w:hAnsi="Times New Roman" w:eastAsia="仿宋_GB2312" w:cs="Times New Roman"/>
          <w:sz w:val="32"/>
          <w:szCs w:val="32"/>
          <w:highlight w:val="none"/>
          <w:lang w:eastAsia="zh-CN"/>
        </w:rPr>
        <w:t>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大于等于</w:t>
      </w:r>
      <w:r>
        <w:rPr>
          <w:rFonts w:hint="default" w:ascii="Times New Roman" w:hAnsi="Times New Roman"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111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偏差原因</w:t>
      </w:r>
      <w:r>
        <w:rPr>
          <w:rFonts w:hint="eastAsia" w:eastAsia="仿宋_GB2312" w:cs="Times New Roman"/>
          <w:color w:val="auto"/>
          <w:sz w:val="32"/>
          <w:szCs w:val="32"/>
          <w:highlight w:val="none"/>
          <w:lang w:val="en-US" w:eastAsia="zh-CN"/>
        </w:rPr>
        <w:t>:</w:t>
      </w:r>
      <w:r>
        <w:rPr>
          <w:rStyle w:val="15"/>
          <w:rFonts w:hint="eastAsia" w:ascii="Times New Roman" w:hAnsi="Times New Roman" w:eastAsia="仿宋_GB2312" w:cs="Times New Roman"/>
          <w:b w:val="0"/>
          <w:color w:val="auto"/>
          <w:spacing w:val="-4"/>
          <w:sz w:val="32"/>
          <w:szCs w:val="32"/>
          <w:highlight w:val="none"/>
          <w:lang w:val="en-US" w:eastAsia="zh-CN"/>
        </w:rPr>
        <w:t>年初绩效目标设置不够精准</w:t>
      </w:r>
      <w:r>
        <w:rPr>
          <w:rFonts w:hint="default" w:ascii="Times New Roman" w:hAnsi="Times New Roman" w:eastAsia="仿宋_GB2312" w:cs="Times New Roman"/>
          <w:color w:val="auto"/>
          <w:sz w:val="32"/>
          <w:szCs w:val="32"/>
          <w:highlight w:val="none"/>
          <w:lang w:val="en-US" w:eastAsia="zh-CN"/>
        </w:rPr>
        <w:t>。</w:t>
      </w:r>
      <w:r>
        <w:rPr>
          <w:rFonts w:hint="eastAsia" w:eastAsia="仿宋_GB2312" w:cs="Times New Roman"/>
          <w:color w:val="auto"/>
          <w:sz w:val="32"/>
          <w:szCs w:val="32"/>
          <w:highlight w:val="none"/>
          <w:lang w:val="en-US" w:eastAsia="zh-CN"/>
        </w:rPr>
        <w:t>改进措施：</w:t>
      </w:r>
      <w:r>
        <w:rPr>
          <w:rStyle w:val="15"/>
          <w:rFonts w:hint="eastAsia" w:ascii="Times New Roman" w:hAnsi="Times New Roman" w:eastAsia="仿宋_GB2312" w:cs="Times New Roman"/>
          <w:b w:val="0"/>
          <w:color w:val="auto"/>
          <w:spacing w:val="-4"/>
          <w:sz w:val="32"/>
          <w:szCs w:val="32"/>
          <w:highlight w:val="none"/>
          <w:lang w:val="en-US" w:eastAsia="zh-CN"/>
        </w:rPr>
        <w:t>今后根据项目实施情况，及时调整绩效目标，提高指标设置的精准性。</w:t>
      </w:r>
    </w:p>
    <w:p w14:paraId="60084237">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项目考核合格率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大于等于</w:t>
      </w:r>
      <w:r>
        <w:rPr>
          <w:rFonts w:hint="default" w:ascii="Times New Roman" w:hAnsi="Times New Roman"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，实际完成值：</w:t>
      </w:r>
      <w:r>
        <w:rPr>
          <w:rFonts w:hint="default" w:ascii="Times New Roman" w:hAnsi="Times New Roman"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w:t>
      </w:r>
    </w:p>
    <w:p w14:paraId="5066335B">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1409FB81">
      <w:pPr>
        <w:snapToGrid w:val="0"/>
        <w:spacing w:line="540" w:lineRule="exact"/>
        <w:ind w:firstLine="640" w:firstLineChars="20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eastAsia="zh-CN"/>
        </w:rPr>
        <w:t>经费发放及时率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大于等于</w:t>
      </w:r>
      <w:r>
        <w:rPr>
          <w:rFonts w:hint="default" w:ascii="Times New Roman" w:hAnsi="Times New Roman"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，实际完成值：</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111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偏差原因</w:t>
      </w:r>
      <w:r>
        <w:rPr>
          <w:rFonts w:hint="eastAsia" w:eastAsia="仿宋_GB2312" w:cs="Times New Roman"/>
          <w:color w:val="auto"/>
          <w:sz w:val="32"/>
          <w:szCs w:val="32"/>
          <w:highlight w:val="none"/>
          <w:lang w:val="en-US" w:eastAsia="zh-CN"/>
        </w:rPr>
        <w:t>:</w:t>
      </w:r>
      <w:r>
        <w:rPr>
          <w:rStyle w:val="15"/>
          <w:rFonts w:hint="eastAsia" w:ascii="Times New Roman" w:hAnsi="Times New Roman" w:eastAsia="仿宋_GB2312" w:cs="Times New Roman"/>
          <w:b w:val="0"/>
          <w:color w:val="auto"/>
          <w:spacing w:val="-4"/>
          <w:sz w:val="32"/>
          <w:szCs w:val="32"/>
          <w:highlight w:val="none"/>
          <w:lang w:val="en-US" w:eastAsia="zh-CN"/>
        </w:rPr>
        <w:t>年初绩效目标设置不够精准</w:t>
      </w:r>
      <w:r>
        <w:rPr>
          <w:rFonts w:hint="default" w:ascii="Times New Roman" w:hAnsi="Times New Roman" w:eastAsia="仿宋_GB2312" w:cs="Times New Roman"/>
          <w:color w:val="auto"/>
          <w:sz w:val="32"/>
          <w:szCs w:val="32"/>
          <w:highlight w:val="none"/>
          <w:lang w:val="en-US" w:eastAsia="zh-CN"/>
        </w:rPr>
        <w:t>。</w:t>
      </w:r>
      <w:r>
        <w:rPr>
          <w:rFonts w:hint="eastAsia" w:eastAsia="仿宋_GB2312" w:cs="Times New Roman"/>
          <w:color w:val="auto"/>
          <w:sz w:val="32"/>
          <w:szCs w:val="32"/>
          <w:highlight w:val="none"/>
          <w:lang w:val="en-US" w:eastAsia="zh-CN"/>
        </w:rPr>
        <w:t>改进措施：</w:t>
      </w:r>
      <w:r>
        <w:rPr>
          <w:rStyle w:val="15"/>
          <w:rFonts w:hint="eastAsia" w:ascii="Times New Roman" w:hAnsi="Times New Roman" w:eastAsia="仿宋_GB2312" w:cs="Times New Roman"/>
          <w:b w:val="0"/>
          <w:color w:val="auto"/>
          <w:spacing w:val="-4"/>
          <w:sz w:val="32"/>
          <w:szCs w:val="32"/>
          <w:highlight w:val="none"/>
          <w:lang w:val="en-US" w:eastAsia="zh-CN"/>
        </w:rPr>
        <w:t>今后根据项目实施情况，及时调整绩效目标，提高指标设置的精准性。</w:t>
      </w:r>
    </w:p>
    <w:p w14:paraId="11D554F5">
      <w:pPr>
        <w:pStyle w:val="10"/>
        <w:numPr>
          <w:ilvl w:val="0"/>
          <w:numId w:val="5"/>
        </w:num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项目效益情况</w:t>
      </w:r>
    </w:p>
    <w:p w14:paraId="38449088">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项目效益类指标包括项目实施效益和满意度两方面的内容，由</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个三级指标构成，权重分为20分，实际得分</w:t>
      </w:r>
      <w:r>
        <w:rPr>
          <w:rFonts w:hint="eastAsia" w:eastAsia="仿宋_GB2312" w:cs="Times New Roman"/>
          <w:sz w:val="32"/>
          <w:szCs w:val="32"/>
          <w:highlight w:val="none"/>
          <w:lang w:val="en-US" w:eastAsia="zh-CN"/>
        </w:rPr>
        <w:t>16.67</w:t>
      </w:r>
      <w:r>
        <w:rPr>
          <w:rFonts w:hint="default" w:ascii="Times New Roman" w:hAnsi="Times New Roman" w:eastAsia="仿宋_GB2312" w:cs="Times New Roman"/>
          <w:sz w:val="32"/>
          <w:szCs w:val="32"/>
          <w:highlight w:val="none"/>
        </w:rPr>
        <w:t>分，得分率为</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%。具体效益指标及满意度指标完成情况如下：</w:t>
      </w:r>
    </w:p>
    <w:p w14:paraId="2C897B56">
      <w:pPr>
        <w:spacing w:line="600" w:lineRule="exact"/>
        <w:ind w:firstLine="643" w:firstLineChars="200"/>
        <w:outlineLvl w:val="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1.实施效益</w:t>
      </w:r>
    </w:p>
    <w:p w14:paraId="33D57765">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①社会效益指标：</w:t>
      </w:r>
    </w:p>
    <w:p w14:paraId="240A8CD1">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eastAsia="zh-CN"/>
        </w:rPr>
        <w:t>提高就业率</w:t>
      </w:r>
      <w:r>
        <w:rPr>
          <w:rFonts w:hint="default" w:ascii="Times New Roman" w:hAnsi="Times New Roman" w:eastAsia="仿宋_GB2312" w:cs="Times New Roman"/>
          <w:sz w:val="32"/>
          <w:szCs w:val="32"/>
          <w:highlight w:val="none"/>
        </w:rPr>
        <w:t>，指标值：</w:t>
      </w:r>
      <w:r>
        <w:rPr>
          <w:rFonts w:hint="default" w:ascii="Times New Roman" w:hAnsi="Times New Roman" w:eastAsia="仿宋_GB2312" w:cs="Times New Roman"/>
          <w:sz w:val="32"/>
          <w:szCs w:val="32"/>
          <w:highlight w:val="none"/>
          <w:lang w:eastAsia="zh-CN"/>
        </w:rPr>
        <w:t>显著提高</w:t>
      </w:r>
      <w:r>
        <w:rPr>
          <w:rFonts w:hint="default" w:ascii="Times New Roman" w:hAnsi="Times New Roman" w:eastAsia="仿宋_GB2312" w:cs="Times New Roman"/>
          <w:sz w:val="32"/>
          <w:szCs w:val="32"/>
          <w:highlight w:val="none"/>
        </w:rPr>
        <w:t>，实际完成值：</w:t>
      </w:r>
      <w:r>
        <w:rPr>
          <w:rFonts w:hint="default" w:ascii="Times New Roman" w:hAnsi="Times New Roman" w:eastAsia="仿宋_GB2312" w:cs="Times New Roman"/>
          <w:sz w:val="32"/>
          <w:szCs w:val="32"/>
          <w:highlight w:val="none"/>
          <w:lang w:val="en-US" w:eastAsia="zh-CN"/>
        </w:rPr>
        <w:t>完全达到预期</w:t>
      </w:r>
      <w:r>
        <w:rPr>
          <w:rFonts w:hint="default" w:ascii="Times New Roman" w:hAnsi="Times New Roman" w:eastAsia="仿宋_GB2312" w:cs="Times New Roman"/>
          <w:sz w:val="32"/>
          <w:szCs w:val="32"/>
          <w:highlight w:val="none"/>
        </w:rPr>
        <w:t>，指标完成率</w:t>
      </w:r>
      <w:r>
        <w:rPr>
          <w:rFonts w:hint="default"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w:t>
      </w:r>
    </w:p>
    <w:p w14:paraId="2BFF79F7">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eastAsia" w:ascii="Times New Roman" w:hAnsi="Times New Roman" w:eastAsia="仿宋_GB2312" w:cs="Times New Roman"/>
          <w:sz w:val="32"/>
          <w:szCs w:val="32"/>
          <w:highlight w:val="none"/>
          <w:lang w:eastAsia="zh-CN"/>
        </w:rPr>
        <w:t>满意度</w:t>
      </w:r>
      <w:r>
        <w:rPr>
          <w:rFonts w:hint="default" w:ascii="Times New Roman" w:hAnsi="Times New Roman" w:eastAsia="仿宋_GB2312" w:cs="Times New Roman"/>
          <w:sz w:val="32"/>
          <w:szCs w:val="32"/>
          <w:highlight w:val="none"/>
        </w:rPr>
        <w:t>指标：</w:t>
      </w:r>
    </w:p>
    <w:p w14:paraId="11F6BDDB">
      <w:pPr>
        <w:snapToGrid w:val="0"/>
        <w:spacing w:line="54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lang w:eastAsia="zh-CN"/>
        </w:rPr>
        <w:t>工作人员满意度</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大于等于</w:t>
      </w:r>
      <w:r>
        <w:rPr>
          <w:rFonts w:hint="default" w:ascii="Times New Roman" w:hAnsi="Times New Roman"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，实际完成值：</w:t>
      </w:r>
      <w:r>
        <w:rPr>
          <w:rFonts w:hint="default" w:ascii="Times New Roman" w:hAnsi="Times New Roman"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6.67</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偏差原因</w:t>
      </w:r>
      <w:r>
        <w:rPr>
          <w:rFonts w:hint="eastAsia" w:eastAsia="仿宋_GB2312" w:cs="Times New Roman"/>
          <w:color w:val="auto"/>
          <w:sz w:val="32"/>
          <w:szCs w:val="32"/>
          <w:highlight w:val="none"/>
          <w:lang w:val="en-US" w:eastAsia="zh-CN"/>
        </w:rPr>
        <w:t>:因公园对安保等工作要求严格，员工表示压力较大，希望提升工资及工作实施设备</w:t>
      </w:r>
      <w:r>
        <w:rPr>
          <w:rFonts w:hint="default" w:ascii="Times New Roman" w:hAnsi="Times New Roman" w:eastAsia="仿宋_GB2312" w:cs="Times New Roman"/>
          <w:color w:val="auto"/>
          <w:sz w:val="32"/>
          <w:szCs w:val="32"/>
          <w:highlight w:val="none"/>
          <w:lang w:val="en-US" w:eastAsia="zh-CN"/>
        </w:rPr>
        <w:t>。</w:t>
      </w:r>
      <w:r>
        <w:rPr>
          <w:rFonts w:hint="eastAsia" w:eastAsia="仿宋_GB2312" w:cs="Times New Roman"/>
          <w:color w:val="auto"/>
          <w:sz w:val="32"/>
          <w:szCs w:val="32"/>
          <w:highlight w:val="none"/>
          <w:lang w:val="en-US" w:eastAsia="zh-CN"/>
        </w:rPr>
        <w:t>改进措施：</w:t>
      </w:r>
      <w:r>
        <w:rPr>
          <w:rStyle w:val="15"/>
          <w:rFonts w:hint="eastAsia" w:ascii="Times New Roman" w:hAnsi="Times New Roman" w:eastAsia="仿宋_GB2312" w:cs="Times New Roman"/>
          <w:b w:val="0"/>
          <w:color w:val="auto"/>
          <w:spacing w:val="-4"/>
          <w:sz w:val="32"/>
          <w:szCs w:val="32"/>
          <w:highlight w:val="none"/>
          <w:lang w:val="en-US" w:eastAsia="zh-CN"/>
        </w:rPr>
        <w:t>今后公园将重点改善休息场所和安保装备，合理安排工作时间与排班，提升薪酬福利，加强职业发展规划和培训，优化管理与沟通机制，提高保安工作满意度。</w:t>
      </w:r>
    </w:p>
    <w:p w14:paraId="107F43FB">
      <w:pPr>
        <w:spacing w:line="560" w:lineRule="exact"/>
        <w:ind w:firstLine="640" w:firstLineChars="200"/>
        <w:rPr>
          <w:rStyle w:val="19"/>
          <w:rFonts w:hint="default" w:ascii="Times New Roman" w:hAnsi="Times New Roman" w:cs="Times New Roman"/>
          <w:color w:val="auto"/>
          <w:highlight w:val="none"/>
        </w:rPr>
      </w:pPr>
      <w:r>
        <w:rPr>
          <w:rFonts w:hint="default" w:ascii="Times New Roman" w:hAnsi="Times New Roman" w:eastAsia="黑体" w:cs="Times New Roman"/>
          <w:sz w:val="32"/>
          <w:szCs w:val="32"/>
          <w:highlight w:val="none"/>
          <w:lang w:val="en-US" w:eastAsia="zh-CN"/>
        </w:rPr>
        <w:t>五</w:t>
      </w:r>
      <w:r>
        <w:rPr>
          <w:rFonts w:hint="default" w:ascii="Times New Roman" w:hAnsi="Times New Roman" w:eastAsia="黑体" w:cs="Times New Roman"/>
          <w:sz w:val="32"/>
          <w:szCs w:val="32"/>
          <w:highlight w:val="none"/>
        </w:rPr>
        <w:t>、主要经验及做法、存在的问题及原因分析</w:t>
      </w:r>
    </w:p>
    <w:p w14:paraId="26BC1F6C">
      <w:pPr>
        <w:spacing w:line="560" w:lineRule="exact"/>
        <w:ind w:firstLine="627" w:firstLineChars="200"/>
        <w:rPr>
          <w:rFonts w:hint="default" w:ascii="Times New Roman" w:hAnsi="Times New Roman" w:eastAsia="楷体" w:cs="Times New Roman"/>
          <w:b/>
          <w:spacing w:val="-4"/>
          <w:sz w:val="32"/>
          <w:szCs w:val="32"/>
          <w:highlight w:val="none"/>
        </w:rPr>
      </w:pPr>
      <w:r>
        <w:rPr>
          <w:rFonts w:hint="default" w:ascii="Times New Roman" w:hAnsi="Times New Roman" w:eastAsia="楷体" w:cs="Times New Roman"/>
          <w:b/>
          <w:spacing w:val="-4"/>
          <w:sz w:val="32"/>
          <w:szCs w:val="32"/>
          <w:highlight w:val="none"/>
        </w:rPr>
        <w:t>（一）主要经验及做法</w:t>
      </w:r>
    </w:p>
    <w:p w14:paraId="2904F96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89FE908">
      <w:pPr>
        <w:pStyle w:val="9"/>
        <w:spacing w:before="0" w:after="0" w:line="560" w:lineRule="exact"/>
        <w:ind w:firstLine="640" w:firstLineChars="200"/>
        <w:jc w:val="left"/>
        <w:rPr>
          <w:rFonts w:hint="default" w:ascii="Times New Roman" w:hAnsi="Times New Roman" w:eastAsia="仿宋_GB2312" w:cs="Times New Roman"/>
          <w:b w:val="0"/>
          <w:bCs w:val="0"/>
          <w:kern w:val="2"/>
          <w:highlight w:val="none"/>
        </w:rPr>
      </w:pPr>
      <w:r>
        <w:rPr>
          <w:rFonts w:hint="default" w:ascii="Times New Roman" w:hAnsi="Times New Roman" w:eastAsia="仿宋_GB2312" w:cs="Times New Roman"/>
          <w:b w:val="0"/>
          <w:bCs w:val="0"/>
          <w:kern w:val="2"/>
          <w:highlight w:val="none"/>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A27EC8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截至项目评价期，累计安置就业人员342人次(含岗位轮换)，稳定在岗114人；帮助87个困难家庭实现稳定收入，退役军人就业满意率达95%；开展职业技能提升培训，已有42人取得消防操作员等专业资质。</w:t>
      </w:r>
    </w:p>
    <w:p w14:paraId="1430AD9A">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存在的问题及原因分析</w:t>
      </w:r>
    </w:p>
    <w:p w14:paraId="5BF2F1D6">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1.相关绩效管理方面专业知识的系统性学习有待加强。各项指标的设置要进一步优化、完善，主要在细化、量化上改进。在绩效自评过程中，</w:t>
      </w:r>
      <w:r>
        <w:rPr>
          <w:rFonts w:hint="default" w:ascii="Times New Roman" w:hAnsi="Times New Roman" w:eastAsia="仿宋_GB2312" w:cs="Times New Roman"/>
          <w:sz w:val="32"/>
          <w:szCs w:val="32"/>
          <w:highlight w:val="none"/>
          <w:lang w:val="en-US" w:eastAsia="zh-CN"/>
        </w:rPr>
        <w:t>由于部分人员</w:t>
      </w:r>
      <w:r>
        <w:rPr>
          <w:rFonts w:hint="default" w:ascii="Times New Roman" w:hAnsi="Times New Roman" w:eastAsia="仿宋_GB2312" w:cs="Times New Roman"/>
          <w:sz w:val="32"/>
          <w:szCs w:val="32"/>
          <w:highlight w:val="none"/>
        </w:rPr>
        <w:t>缺乏相关绩效管理专业知识，自评价工作还存在自我审定的局限性，影响评价质量。</w:t>
      </w:r>
    </w:p>
    <w:p w14:paraId="31AFE7EB">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2.因轮岗、调动、等因素使我单位绩效工作人员流动频繁，造成了工作衔接不到位的情况。</w:t>
      </w:r>
    </w:p>
    <w:p w14:paraId="06A2D6B6">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3.岗位吸引力不足：部分青年群体对保安岗位认知存在偏差，应聘积极性较低。</w:t>
      </w:r>
    </w:p>
    <w:p w14:paraId="2D543974">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4.技能培训针对性待强化：部分新入职人员应急处突能力与实际需求存在差距。</w:t>
      </w:r>
    </w:p>
    <w:p w14:paraId="0C07C914">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rPr>
        <w:t>、有关建议</w:t>
      </w:r>
    </w:p>
    <w:p w14:paraId="00E37F66">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1.多进行有关绩效管理工作方面的培训。积极组织第三方开展绩效管理工作培训，进一步夯实业务基础，提高我单位绩效人员水平。</w:t>
      </w:r>
    </w:p>
    <w:p w14:paraId="479B785D">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2.专门设定对绩效工作人员定职、定岗、定责等相关制度措施，进一步提升我单位绩效管理工作业务水平，扎实做好绩效管理工作。</w:t>
      </w:r>
    </w:p>
    <w:p w14:paraId="3BCEF755">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96679E8">
      <w:pPr>
        <w:spacing w:line="600" w:lineRule="exact"/>
        <w:ind w:firstLine="640" w:firstLineChars="200"/>
        <w:outlineLvl w:val="0"/>
        <w:rPr>
          <w:rFonts w:hint="default" w:ascii="Times New Roman" w:hAnsi="Times New Roman" w:cs="Times New Roman"/>
          <w:sz w:val="22"/>
          <w:szCs w:val="28"/>
          <w:highlight w:val="none"/>
        </w:rPr>
      </w:pPr>
      <w:r>
        <w:rPr>
          <w:rFonts w:hint="default" w:ascii="Times New Roman" w:hAnsi="Times New Roman" w:eastAsia="仿宋_GB2312" w:cs="Times New Roman"/>
          <w:sz w:val="32"/>
          <w:szCs w:val="32"/>
          <w:highlight w:val="none"/>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highlight w:val="none"/>
        </w:rPr>
        <w:t>。</w:t>
      </w:r>
    </w:p>
    <w:p w14:paraId="6AE7D9E8">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186CC1A">
      <w:pPr>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七</w:t>
      </w:r>
      <w:r>
        <w:rPr>
          <w:rFonts w:hint="default" w:ascii="Times New Roman" w:hAnsi="Times New Roman" w:eastAsia="黑体" w:cs="Times New Roman"/>
          <w:sz w:val="32"/>
          <w:szCs w:val="32"/>
          <w:highlight w:val="none"/>
        </w:rPr>
        <w:t>、其他需要说</w:t>
      </w:r>
      <w:bookmarkStart w:id="2" w:name="page8"/>
      <w:bookmarkEnd w:id="2"/>
      <w:r>
        <w:rPr>
          <w:rFonts w:hint="default" w:ascii="Times New Roman" w:hAnsi="Times New Roman" w:eastAsia="黑体" w:cs="Times New Roman"/>
          <w:sz w:val="32"/>
          <w:szCs w:val="32"/>
          <w:highlight w:val="none"/>
        </w:rPr>
        <w:t>明的问题</w:t>
      </w:r>
    </w:p>
    <w:p w14:paraId="5875BA5A">
      <w:pPr>
        <w:pStyle w:val="11"/>
        <w:spacing w:after="0" w:line="560" w:lineRule="exact"/>
        <w:ind w:left="0" w:leftChars="0"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本项目无其他需说明的问题。</w:t>
      </w:r>
    </w:p>
    <w:p w14:paraId="6369EDD1">
      <w:pPr>
        <w:rPr>
          <w:rFonts w:hint="default" w:ascii="Times New Roman" w:hAnsi="Times New Roman" w:cs="Times New Roman"/>
          <w:highlight w:val="none"/>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0AC129-840E-451E-9452-BC58EAD4FF2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7549D5CF-CE43-4123-B7D1-B6673CCD50F7}"/>
  </w:font>
  <w:font w:name="华文中宋">
    <w:panose1 w:val="02010600040101010101"/>
    <w:charset w:val="86"/>
    <w:family w:val="auto"/>
    <w:pitch w:val="default"/>
    <w:sig w:usb0="00000287" w:usb1="080F0000" w:usb2="00000000" w:usb3="00000000" w:csb0="0004009F" w:csb1="DFD70000"/>
    <w:embedRegular r:id="rId3" w:fontKey="{7D579A6F-6B77-45D5-BCA5-7D85E0CBA3FD}"/>
  </w:font>
  <w:font w:name="方正小标宋_GBK">
    <w:panose1 w:val="02000000000000000000"/>
    <w:charset w:val="86"/>
    <w:family w:val="script"/>
    <w:pitch w:val="default"/>
    <w:sig w:usb0="A00002BF" w:usb1="38CF7CFA" w:usb2="00082016" w:usb3="00000000" w:csb0="00040001" w:csb1="00000000"/>
    <w:embedRegular r:id="rId4" w:fontKey="{64730088-15A1-4F8B-A85D-E654B6E38645}"/>
  </w:font>
  <w:font w:name="楷体_GB2312">
    <w:panose1 w:val="02010609030101010101"/>
    <w:charset w:val="86"/>
    <w:family w:val="auto"/>
    <w:pitch w:val="default"/>
    <w:sig w:usb0="00000001" w:usb1="080E0000" w:usb2="00000000" w:usb3="00000000" w:csb0="00040000" w:csb1="00000000"/>
    <w:embedRegular r:id="rId5" w:fontKey="{8944AE29-8CFF-417E-8C1D-82E65C16A477}"/>
  </w:font>
  <w:font w:name="方正仿宋_GBK">
    <w:panose1 w:val="02000000000000000000"/>
    <w:charset w:val="86"/>
    <w:family w:val="auto"/>
    <w:pitch w:val="default"/>
    <w:sig w:usb0="A00002BF" w:usb1="38CF7CFA" w:usb2="00082016" w:usb3="00000000" w:csb0="00040001" w:csb1="00000000"/>
    <w:embedRegular r:id="rId6" w:fontKey="{0FEB6CF9-E560-40F7-A364-CCD274F2D02E}"/>
  </w:font>
  <w:font w:name="楷体">
    <w:panose1 w:val="02010609060101010101"/>
    <w:charset w:val="86"/>
    <w:family w:val="modern"/>
    <w:pitch w:val="default"/>
    <w:sig w:usb0="800002BF" w:usb1="38CF7CFA" w:usb2="00000016" w:usb3="00000000" w:csb0="00040001" w:csb1="00000000"/>
    <w:embedRegular r:id="rId7" w:fontKey="{18713D49-B84D-443B-8FD7-2C193C01FED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5458"/>
    </w:sdtPr>
    <w:sdtContent>
      <w:p w14:paraId="04BCB0D4">
        <w:pPr>
          <w:pStyle w:val="7"/>
          <w:jc w:val="center"/>
        </w:pPr>
        <w:r>
          <w:fldChar w:fldCharType="begin"/>
        </w:r>
        <w:r>
          <w:instrText xml:space="preserve">PAGE   \* MERGEFORMAT</w:instrText>
        </w:r>
        <w:r>
          <w:fldChar w:fldCharType="separate"/>
        </w:r>
        <w:r>
          <w:rPr>
            <w:lang w:val="zh-CN"/>
          </w:rPr>
          <w:t>13</w:t>
        </w:r>
        <w:r>
          <w:fldChar w:fldCharType="end"/>
        </w:r>
      </w:p>
    </w:sdtContent>
  </w:sdt>
  <w:p w14:paraId="3A8648D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3"/>
      <w:numFmt w:val="chineseCounting"/>
      <w:suff w:val="nothing"/>
      <w:lvlText w:val="%1、"/>
      <w:lvlJc w:val="left"/>
      <w:rPr>
        <w:rFonts w:hint="eastAsia"/>
      </w:rPr>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2"/>
      <w:numFmt w:val="decimal"/>
      <w:suff w:val="nothing"/>
      <w:lvlText w:val="（%1）"/>
      <w:lvlJc w:val="left"/>
      <w:rPr>
        <w:rFonts w:hint="default" w:ascii="Times New Roman" w:hAnsi="Times New Roman" w:cs="Times New Roman"/>
      </w:rPr>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19657497"/>
    <w:rsid w:val="6FBE13E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1"/>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4"/>
    <w:qFormat/>
    <w:uiPriority w:val="0"/>
    <w:pPr>
      <w:spacing w:after="0"/>
      <w:ind w:firstLine="200" w:firstLineChars="200"/>
    </w:pPr>
  </w:style>
  <w:style w:type="paragraph" w:styleId="11">
    <w:name w:val="Body Text First Indent 2"/>
    <w:basedOn w:val="5"/>
    <w:qFormat/>
    <w:uiPriority w:val="0"/>
    <w:pPr>
      <w:ind w:firstLine="420" w:firstLineChars="200"/>
    </w:pPr>
  </w:style>
  <w:style w:type="table" w:styleId="1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6"/>
    <w:qFormat/>
    <w:uiPriority w:val="0"/>
    <w:rPr>
      <w:rFonts w:ascii="Times New Roman" w:hAnsi="Times New Roman" w:eastAsia="宋体" w:cs="Times New Roman"/>
      <w:kern w:val="2"/>
      <w:sz w:val="18"/>
      <w:szCs w:val="18"/>
    </w:rPr>
  </w:style>
  <w:style w:type="character" w:customStyle="1" w:styleId="22">
    <w:name w:val="页眉 字符"/>
    <w:basedOn w:val="14"/>
    <w:link w:val="8"/>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EC916B4A78E34C959E3901CA7EE7B89A_13</vt:lpwstr>
  </property>
  <property fmtid="{D5CDD505-2E9C-101B-9397-08002B2CF9AE}" pid="4" name="KSOTemplateDocerSaveRecord">
    <vt:lpwstr>eyJoZGlkIjoiYjFkOWRiYjUxZjAyOGNkZTZlMWQ4NzRjOWZkNDdiZjIiLCJ1c2VySWQiOiIxMDYxNDA0NTc5In0=</vt:lpwstr>
  </property>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98386-4b8d-4a28-8dd2-485922784538}">
  <ds:schemaRefs/>
</ds:datastoreItem>
</file>

<file path=customXml/itemProps2.xml><?xml version="1.0" encoding="utf-8"?>
<ds:datastoreItem xmlns:ds="http://schemas.openxmlformats.org/officeDocument/2006/customXml" ds:itemID="{EEA5C986-6CAE-461A-935E-905AB5D0E2F3}">
  <ds:schemaRefs/>
</ds:datastoreItem>
</file>

<file path=docProps/app.xml><?xml version="1.0" encoding="utf-8"?>
<Properties xmlns="http://schemas.openxmlformats.org/officeDocument/2006/extended-properties" xmlns:vt="http://schemas.openxmlformats.org/officeDocument/2006/docPropsVTypes">
  <Template>Normal</Template>
  <Pages>18</Pages>
  <Words>7779</Words>
  <Characters>8057</Characters>
  <Lines>66</Lines>
  <Paragraphs>18</Paragraphs>
  <TotalTime>25</TotalTime>
  <ScaleCrop>false</ScaleCrop>
  <LinksUpToDate>false</LinksUpToDate>
  <CharactersWithSpaces>8065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白羊</cp:lastModifiedBy>
  <dcterms:modified xsi:type="dcterms:W3CDTF">2025-11-05T10:30:25Z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EC916B4A78E34C959E3901CA7EE7B89A_13</vt:lpwstr>
  </property>
  <property fmtid="{D5CDD505-2E9C-101B-9397-08002B2CF9AE}" pid="4" name="KSOTemplateDocerSaveRecord">
    <vt:lpwstr>eyJoZGlkIjoiYjM4NWYyMWE2NWU1OGNiMmIxMmZkYzA5MWEwNzJlZmIiLCJ1c2VySWQiOiI0MzE2NzY3NzkifQ==</vt:lpwstr>
  </property>
</Properties>
</file>